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A/96/2024 vom 3. Februar 2025</w:t>
      </w:r>
    </w:p>
    <w:p>
      <w:r>
        <w:t>GE Cour de justice, 2025-02-03, FR</w:t>
      </w:r>
    </w:p>
    <w:p>
      <w:r>
        <w:rPr>
          <w:b/>
        </w:rPr>
        <w:t xml:space="preserve">Quelle: </w:t>
      </w:r>
      <w:r>
        <w:t>https://mcp.opencaselaw.ch/entscheid/ge_gerichte_A_96_2024</w:t>
      </w:r>
    </w:p>
    <w:p>
      <w:r>
        <w:t>FR: GE_GERICHTE A/96/2024 du 3 février 2025</w:t>
      </w:r>
    </w:p>
    <w:p>
      <w:r>
        <w:t>IT: GE_GERICHTE A/96/2024 del 3 febbraio 2025</w:t>
      </w:r>
    </w:p>
    <w:p>
      <w:pPr>
        <w:pStyle w:val="Heading2"/>
      </w:pPr>
      <w:r>
        <w:t>Erwägungen</w:t>
      </w:r>
    </w:p>
    <w:p>
      <w:r>
        <w:rPr>
          <w:b/>
        </w:rPr>
        <w:t>E. 11</w:t>
      </w:r>
    </w:p>
    <w:p>
      <w:r>
        <w:t>La recourante affirme ensuite qu'un abattement aurait dû être pris en compte pour le calcul de son revenu avec invalidité, vu le grand nombre de limitations fonctionnelles.</w:t>
      </w:r>
    </w:p>
    <w:p>
      <w:r>
        <w:rPr>
          <w:b/>
        </w:rPr>
        <w:t>E. 11.1</w:t>
      </w:r>
    </w:p>
    <w:p>
      <w:r>
        <w:t>Pour évaluer le taux d’invalidité d’un assuré exerçant une activité lucrative, le revenu qu’il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des revenus sans et avec invalidité et en les confrontant l’un avec l’autre, la différence permettant de calculer le taux d’invalidité (méthode générale de comparaison des revenus ; ATF 137 V 334 consid. 3.1.1 ; 128 V 29 consid. 1 ; 104 V 135 consid. 2a et 2b).</w:t>
      </w:r>
    </w:p>
    <w:p>
      <w:r>
        <w:rPr>
          <w:b/>
        </w:rPr>
        <w:t>E. 11.2</w:t>
      </w:r>
    </w:p>
    <w:p>
      <w:r>
        <w:t>Le revenu d'invalide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143 V 295 consid. 2.2 et la référence ; 135 V 297 consid. 5.2 et les références). Dans ce cas, il convient de se fonder, en règle générale, sur les salaires mensuels indiqués dans la table TA1 de l’ESS, à la ligne « total secteur privé » (ATF 124 V 321 consid. 3b/aa), étant précisé que, depuis l'ESS 2012, il y a lieu d'appliquer le tableau TA1_skill_ level (ATF 142 V 178 ). Il convient de se référer à la version de l'ESS publiée au moment déterminant de la décision querellée (ATF 143 V 295 consid. 4 ; arrêt du Tribunal fédéral 8C_655/2016 du 4 août 2017 consid. 6.3).</w:t>
      </w:r>
    </w:p>
    <w:p>
      <w:r>
        <w:rPr>
          <w:b/>
        </w:rPr>
        <w:t>E. 11.3</w:t>
      </w:r>
    </w:p>
    <w:p>
      <w:r>
        <w:t>Selon la jurisprudence développée avant l'entrée en vigueur le 1 er janvier 2022 de l'art. 26bis al. 3 RAI, l'abattement imputable sur le salaire avec invalidité fondé sur les statistiques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148 V 174 consid. 6.3 et les références ; 135 V 297 consid. 5.2 ; 134 V 322 consid. 5.2 et les références).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148 V 174 consid. 6.3 et les références). D'éventuelles limitations liées à la santé, déjà comprises dans l'évaluation médicale de la capacité de travail, ne doivent pas être prises en compte une seconde fois dans l’appréciation de l’abattement, conduisant sinon à une double prise en compte du même facteur (ATF 148 V 174 consid. 6.3 et les références ; 146 V 16 consid. 4.1 et ss. et les références).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 il doit s'appuyer sur des circonstances de nature à faire apparaître sa propre appréciation comme la mieux appropriée (ATF 126 V 75 consid. 6 ; 123 V 150 consid. 2 et les références ; arrêt du Tribunal fédéral 8C_337/2009 du 18 février 2010 consid. 7.5). Une réduction au titre du handicap dépend de la nature des limitations fonctionnelles présentées et n'entre en considération que si, sur un marché du travail équilibré, il n'y a plus un éventail suffisamment large d'activités accessibles à l'assuré (arrêt du Tribunal fédéral 8C_280/2022 du 1 er mars 2023 consid. 7.2.3 et les références). Dans la mesure où le niveau de compétence 1 de l'ESS comprend déjà un grand nombre d'activités légères et modérément lourdes, un abattement de ce fait ne se justifie en général pas (arrêts du Tribunal fédéral 8C_48/2021 du 20 mai 2021 consid. 4.3.4 et les références ; 9C_386/2012 du 18 septembre 2012 consid. 5.2).</w:t>
      </w:r>
    </w:p>
    <w:p>
      <w:r>
        <w:rPr>
          <w:b/>
        </w:rPr>
        <w:t>E. 11.4</w:t>
      </w:r>
    </w:p>
    <w:p>
      <w:r>
        <w:t>En l'espèce, l'intimé n'a procédé à aucun abattement sur le salaire issu de l'ESS, ce que la recourante conteste, estimant que ses nombreuses limitations fonctionnelles justifiaient un abattement de 20% au minimum. Contrairement à ce que soutient la recourante et au vu des principes exposés plus haut, les limitations fonctionnelles qu'elle présente ne justifient pas un abattement sur le salaire avec invalidité. En effet, les limitations physiques de la recourante, telles que retenues par le rapport des médecins du SMR, ne l'empêchent pas de réaliser des activités professionnelles légères, en position alternée et le niveau de compétence 1 de l'ESS appliqué en l'espèce comprend un grand nombre d'emplois physiquement peu astreignants. L'intimé était dès lors fondé à ne pas retenir d'abattement et, partant, à retenir un degré d'invalidité nul une fois qu'elle avait recouvré sa pleine capacité de travail dans une activité adaptée. Le grief sera écarté.</w:t>
      </w:r>
    </w:p>
    <w:p>
      <w:r>
        <w:rPr>
          <w:b/>
        </w:rPr>
        <w:t>E. 12</w:t>
      </w:r>
    </w:p>
    <w:p>
      <w:r>
        <w:t>La recourante demande des mesures professionnelles.</w:t>
      </w:r>
    </w:p>
    <w:p>
      <w:r>
        <w:rPr>
          <w:b/>
        </w:rPr>
        <w:t>E. 12.1</w:t>
      </w:r>
    </w:p>
    <w:p>
      <w:r>
        <w:t>S’agissant d’éventuelles mesures de réadaptation, il sied de rappeler que, 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(sur ce principe général du droit des assurances sociales, voir ATF 123 V 233 consid. 3c, 117 V 278 consid. 2b, 400 consid. 4b et les arrêts cités). La réadaptation par soi-même est un aspect de l’obligation de diminuer le dommage et prime aussi bien le droit à une rente que celui à des mesures de réadaptation (art. 21 al. 4 LPGA).</w:t>
      </w:r>
    </w:p>
    <w:p>
      <w:r>
        <w:rPr>
          <w:b/>
        </w:rPr>
        <w:t>E. 12.2</w:t>
      </w:r>
    </w:p>
    <w:p>
      <w:r>
        <w:t>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L’art. 8 al. 3 let. b LAI dispose que les mesures de réadaptation comprennent les mesures d’ordre professionnel (orientation professionnelle, formation professionnelle initiale, reclassement, placement, aide en capital).</w:t>
      </w:r>
    </w:p>
    <w:p>
      <w:r>
        <w:rPr>
          <w:b/>
        </w:rPr>
        <w:t>E. 12.3</w:t>
      </w:r>
    </w:p>
    <w:p>
      <w:r>
        <w:t>Se pose en premier lieu la question de savoir si l'assuré est invalide ou menacé d'une invalidité permanente (art. 28 al. 1 LAI). On rappellera qu'il n'existe pas un droit inconditionnel à obtenir une mesure professionnelle (voir par ex. l'arrêt du Tribunal fédéral 9C_385/2009 du 13 octobre 2009). Il faut également relever que si une perte de gain de 20% environ ouvre en principe droit à une mesure de reclassement dans une nouvelle profession (ATF 139 V 399 consid. 5.3 ; arrêt du Tribunal fédéral 9C_500/2020 du 1 er mars 2021 consid. 2 et les références), la question reste ouverte s'agissant des autres mesures d'ordre professionnel prévues par la loi (arrêt du Tribunal fédéral 9C_464/2009 du 31 mai 2010).</w:t>
      </w:r>
    </w:p>
    <w:p>
      <w:r>
        <w:rPr>
          <w:b/>
        </w:rPr>
        <w:t>E. 12.4</w:t>
      </w:r>
    </w:p>
    <w:p>
      <w:r>
        <w:t>En l'espèce, dès janvier 2022, le degré d'invalidité, nul, est inférieur au seuil ouvrant le droit à un reclassement. Par ailleurs, les autres mesures d'ordre professionnel n’apparaissent pas indiquées dans le cas d’espèce, au vu des activités possibles sans formation et adaptées aux limitations fonctionnelles sur un marché équilibré du travail et dès lors que la recourante n’est pas entravée par son atteinte à la santé dans sa recherche d’emploi. C'est par conséquent à bon droit que l'intimé a refusé d'octroyer à la recourante des mesures d'ordre professionnel.</w:t>
      </w:r>
    </w:p>
    <w:p>
      <w:r>
        <w:rPr>
          <w:b/>
        </w:rPr>
        <w:t>E. 13</w:t>
      </w:r>
    </w:p>
    <w:p>
      <w:r>
        <w:t>Dans ces circonstances, le recours sera partiellement admis. La décision de l'intimé sera réformée en ce sens que le droit à la rente prend fin dès le 1 er février 2022 et non le 1 er janvier 2022 et sera pour le reste confirmée.</w:t>
      </w:r>
    </w:p>
    <w:p>
      <w:r>
        <w:rPr>
          <w:b/>
        </w:rPr>
        <w:t>E. 14</w:t>
      </w:r>
    </w:p>
    <w:p>
      <w:r>
        <w:t>Vu l'issue du litige, le recours n'étant que très partiellement admis, un émolument de CHF 200.- sera mis à la charge de la recourante (art. 69 al. 1bis LAI). Par ailleurs, la recourante obtenant gain de cause sur une partie minime de ses conclusions en relation avec un point qu'elle ne soulevait pas, il ne lui sera pas alloué de dépens (art. 61 let. g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