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A/967/2023 vom 26. Oktober 2023</w:t>
      </w:r>
    </w:p>
    <w:p>
      <w:r>
        <w:t>GE Cour de justice, 2023-10-26, FR</w:t>
      </w:r>
    </w:p>
    <w:p>
      <w:r>
        <w:rPr>
          <w:b/>
        </w:rPr>
        <w:t xml:space="preserve">Quelle: </w:t>
      </w:r>
      <w:r>
        <w:t>https://mcp.opencaselaw.ch/entscheid/ge_gerichte_A_967_2023</w:t>
      </w:r>
    </w:p>
    <w:p>
      <w:r>
        <w:t>FR: GE_GERICHTE A/967/2023 du 26 octobre 2023</w:t>
      </w:r>
    </w:p>
    <w:p>
      <w:r>
        <w:t>IT: GE_GERICHTE A/967/2023 del 26 ottobre 2023</w:t>
      </w:r>
    </w:p>
    <w:p>
      <w:pPr>
        <w:pStyle w:val="Heading2"/>
      </w:pPr>
      <w:r>
        <w:t>Erwägungen</w:t>
      </w:r>
    </w:p>
    <w:p>
      <w:r>
        <w:rPr>
          <w:b/>
        </w:rPr>
        <w:t>E. 1</w:t>
      </w:r>
    </w:p>
    <w:p>
      <w:r>
        <w:t>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Dans la mesure où le recours a été interjeté postérieurement au 1 er janvier 2021, il est soumis au nouveau droit ( cf . art. 82 a LPGA a contrario).</w:t>
      </w:r>
    </w:p>
    <w:p>
      <w:r>
        <w:rPr>
          <w:b/>
        </w:rPr>
        <w:t>E. 3</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En l’occurrence, les calculs effectués par le SPC selon le droit applicable dès le 1 er janvier 2021 entraînent une diminution de la prestation complémentaire annuelle ou la perte du droit à la prestation complémentaire annuelle, de sorte que les dispositions applicables seront citées dans leur ancienne teneur.</w:t>
      </w:r>
    </w:p>
    <w:p>
      <w:r>
        <w:rPr>
          <w:b/>
        </w:rPr>
        <w:t>E. 4</w:t>
      </w:r>
    </w:p>
    <w:p>
      <w:r>
        <w:t>Le délai de recours est de 30 jours (art. 60 al. 1 LPGA ; art. 43 LPCC ; art. 62 al. 1 let. a de la loi sur la procédure administrative du 12 septembre 1985 [LPA - E 5 10] et art. 43 LPCC).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5</w:t>
      </w:r>
    </w:p>
    <w:p>
      <w:r>
        <w:t>Le litige porte sur le montant et le calcul des prestations complémentaires, en particulier sur la prise en compte dans le calcul du SPC, des montants correspondant à des biens auxquels l’assurée a renoncé.</w:t>
      </w:r>
    </w:p>
    <w:p>
      <w:r>
        <w:rPr>
          <w:b/>
        </w:rPr>
        <w:t>E. 6</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Les prestations complémentaires fédérales se composent de la prestation complémentaire annuelle et du remboursement des frais de maladie et d’invalidité (art. 3 al. 1 aLPC). L’art. 9 al. 1 er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7</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ATF 134 I 65 consid. 3.2 et les références ; ATF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 cf .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 cf . arrêt du Tribunal fédéral 9C_50/2022 du 17 mai 2022 consid. 3.1 et les références). En effet, il n'appartient pas aux organes compétents en matière de prestations complémentaires de procéder à un contrôle du mode de vie des assurés ( cf .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w:t>
      </w:r>
    </w:p>
    <w:p>
      <w:r>
        <w:rPr>
          <w:b/>
        </w:rPr>
        <w:t>E. 8</w:t>
      </w:r>
    </w:p>
    <w:p>
      <w:r>
        <w:t>Selon l'art. 17 a de l'ordonnance sur les prestations complémentaires à l’assurance-vieillesse, survivants et invalidité du 15 janvier 1971 (OPC-AVS/AI - RS 831.301), dans sa teneur en vigueur jusqu’au 31 décembre 2020, la part de fortune dessaisie à prendre en compte (art. 11 al. 1 let. g aLPC)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 SBVR vol. XIV, p. 1816 n. 247).</w:t>
      </w:r>
    </w:p>
    <w:p>
      <w:r>
        <w:rPr>
          <w:b/>
        </w:rPr>
        <w:t>E. 9</w:t>
      </w:r>
    </w:p>
    <w:p>
      <w:r>
        <w:t>Selon l'art. 17 aOPC/AVS-AI,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aLPC.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En vertu de l'art. 17 al. 5 aOPC-AVS/AI, édicté sur la base de la délégation de compétence prévue à l'art. 3a al. 7 let. b aLPC, en cas de dessaisissement d'un immeuble, à titre onéreux ou gratuit, est déterminante la valeur vénale pour savoir s'il y a renonciation à des parts de fortune au sens de l'art. 3c al. 1 let. g aLPC ; la valeur vénale n'est pas applicable si, légalement, il existe un droit d'acquérir l'immeuble à une valeur inférieure. En lieu et place de la valeur vénale, les cantons peuvent appliquer uniformément la valeur de répartition déterminante pour les répartitions intercantonales (art. 17 al. 6 aOPC/AVS-AI). Selon la jurisprudence, lorsque le canton a fait usage de cette faculté, on ne peut en principe s'en écarter que si cette estimation se révèle abusive ou aboutit à un résultat choquant (arrêt du Tribunal fédéral 8C_591/2008 du 31 juillet 2009 consid. 3.2 ; arrêt du Tribunal fédéral P 55/01 du 8 avril 2002 consid. 3 et les références). La valeur vénale d'un immeuble doit reposer sur une valeur officielle ou une valeur reconnue comme telle ; au besoin, elle sera établie au moyen d'une estimation. Afin de respecter l'égalité de traitement, l'administration des prestations complémentaires doit toujours mandater le même service officiel pour calculer la valeur vénale d'un immeuble. C'est la valeur au moment du dessaisissement qui est déterminante (arrêt du Tribunal fédéral P 9/04 du 7 avril 2004 consid. 3.2 et les références). Un montant de 4,5% de la valeur vénale retenu à titre de valeur locative ou de rendement de l'immeuble n'est pas excessif (arrêt du Tribunal fédéral P 57/05 du 29 août 2006). S'agissant d'un bien immobilier situé à l'étranger, la jurisprudence admet la possibilité de déterminer sa valeur en se référant à un rapport d'expertise réalisée à l'étranger s'il n'est pas raisonnablement possible de procéder à une autre estimation ( cf . arrêt du Tribunal fédéral 9C_751/2018 du 16 avril 2019 consid. 7.2). Le montant de la valeur locative du bien immobilier qui doit en principe être pris en considération à titre de loyer lorsque celui-ci est vide – alors même qu'une location serait possible – est le loyer qui est usuellement pratiqué dans la région ou, autrement dit, un loyer conforme à la loi du marché (arrêt du Tribunal fédéral 9C_751/2018 du 16 avril 2019 consid. 7.2).</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11</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 cf . ATF 117 V 261 consid. 3b ; ATF 108 V 229 consid. 2 ; arrêt du Tribunal fédéral P 59/02 du 28 août 2003 consid. 3.3 et les références).</w:t>
      </w:r>
    </w:p>
    <w:p>
      <w:r>
        <w:rPr>
          <w:b/>
        </w:rPr>
        <w:t>E. 12</w:t>
      </w:r>
    </w:p>
    <w:p>
      <w:r>
        <w:t>En l’espèce, la recourante allègue que la valeur vénale de l’immeuble sis à Lima ainsi que le produit de cet immeuble ne doivent pas être pris en compte par le SPC dès lors que, même si elle était légalement copropriétaire de l’immeuble à 50% et héritière à hauteur de 5,5%, soit au total copropriétaire à hauteur de 55,5%, elle a renoncé à ses droits pour éviter une procédure longue et coûteuse, en annulation du testament. De son côté, le SPC considère qu’en renonçant à faire valoir ses droits, la recourante a renoncé volontairement à un élément de fortune et au revenu produit par cette fortune, de telle sorte qu’il s’agit d’un dessaisissement et que la fortune et les revenus auxquels la recourante a renoncés doivent être réintégrés de manière hypothétique dans son patrimoine et pris en compte dans le calcul des prestations complémentaires.</w:t>
      </w:r>
    </w:p>
    <w:p>
      <w:r>
        <w:rPr>
          <w:b/>
        </w:rPr>
        <w:t>E. 12.1</w:t>
      </w:r>
    </w:p>
    <w:p>
      <w:r>
        <w:t>La jurisprudence concernant le dessaisissement est claire ; elle prévoit qu’il y a également dessaisissement lorsque le bénéficiaire a droit à certains éléments de revenu ou de fortune mais n'en fait pas usage ou s'abstient de faire valoir ses prétentions (ATF 140 V 267 consid. 2.2 et les références). Dans le cas présent, il est établi et admis par la recourante que cette dernière a renoncé volontairement - et sans contrepartie - à ses droits sur l’immeuble sis à Lima, soit une quote-part de copropriété de 50%, à laquelle s’additionne une part d’héritage correspondant à 5.5% du solde de la copropriété, soit au total une part de copropriété de 55.5% sur l’immeuble, correspondant également à un droit de 55.5% sur les revenus de l’immeuble. À cet égard, l’avis de droit de l’Étude d’avocats péruvienne « Iura lex abogados &amp; asociados », du 20 janvier 2023, produit par la recourante, confirme, ch. 2, p. 4, que chaque copropriétaire peut disposer librement de ses parts et de ses droits sur le bien et peut ainsi les vendre à des tiers (traduction libre) « Cada copropietario puede disponer libremente de sus acciones y derechos que tienen sobre el inmueble, es decir, que cada copropietario puede vender sus acciones y derechos a une tercera persona ». Pour justifier sa renonciation à sa part de fortune et à son droit sur le produit de la fortune, la recourante a fait valoir qu’elle aurait dû entamer une procédure longue et coûteuse en annulation du testament ; néanmoins, elle n’apporte aucun élément permettant de considérer qu’une telle procédure eût été disproportionnée et qu’on ne pouvait pas raisonnablement l’exiger d’elle, ce d’autant moins que la recourante s’est à nouveau rendue au Pérou en juillet 2023 pour faire valoir ses droits sur la pension de veuve, ce qui démontre qu’en dépit de son âge, elle est disposée à voyager et à défendre ses intérêts.</w:t>
      </w:r>
    </w:p>
    <w:p>
      <w:r>
        <w:rPr>
          <w:b/>
        </w:rPr>
        <w:t>E. 12.2</w:t>
      </w:r>
    </w:p>
    <w:p>
      <w:r>
        <w:t>Par ailleurs, ni le montant de l’estimation de la valeur vénale de l’immeuble, ni le calcul du produit de ce dernier ne sont contestés par la recourante. En l’état du dossier, il n’existe aucun élément susceptible de mettre en doute les montants retenus par le SPC pour estimer la valeur vénale de l’immeuble, en se fondant sur les documents établissant la « valor construccion » transmis par le recourante, et qui a appliqué les méthodes de calcul fixées par la jurisprudence, pour fixer le rendement de ce dernier et les frais d’entretien. Compte tenu de ce qui précède, la chambre de céans considère qu’il est établi, au degré de la vraisemblance prépondérante, que la recourante a volontairement renoncé à un élément de fortune et au revenu de ce dernier sans que cela soit justifié.</w:t>
      </w:r>
    </w:p>
    <w:p>
      <w:r>
        <w:rPr>
          <w:b/>
        </w:rPr>
        <w:t>E. 13</w:t>
      </w:r>
    </w:p>
    <w:p>
      <w:r>
        <w:t>Partant, la décision du SPC ne prête pas le flanc à la critique et la chambre de céans n’a d’autre choix que de rejeter le recours.</w:t>
      </w:r>
    </w:p>
    <w:p>
      <w:r>
        <w:rPr>
          <w:b/>
        </w:rPr>
        <w:t>E. 14</w:t>
      </w:r>
    </w:p>
    <w:p>
      <w:r>
        <w:t>S’agissant de la pension qui doit être servie par la sécurité sociale péruvienne en faveur de l’assurée, il sied de rappeler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Comme le souligne le SPC, cet élément est un fait nouveau qui est venu s’intercaler dans la procédure et qui n’a pas encore fait l’objet d’une décision du SPC, raison pour laquelle la chambre de céans n’entrera pas en matière sur cette question.</w:t>
      </w:r>
    </w:p>
    <w:p>
      <w:r>
        <w:rPr>
          <w:b/>
        </w:rPr>
        <w:t>E. 15</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