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A/967/2020 vom 9. Juni 2020</w:t>
      </w:r>
    </w:p>
    <w:p>
      <w:r>
        <w:t>GE Cour de justice, 2020-06-09, FR</w:t>
      </w:r>
    </w:p>
    <w:p>
      <w:r>
        <w:rPr>
          <w:b/>
        </w:rPr>
        <w:t xml:space="preserve">Quelle: </w:t>
      </w:r>
      <w:r>
        <w:t>https://mcp.opencaselaw.ch/entscheid/ge_gerichte_A_967_2020</w:t>
      </w:r>
    </w:p>
    <w:p>
      <w:r>
        <w:t>FR: GE_GERICHTE A/967/2020 du 9 juin 2020</w:t>
      </w:r>
    </w:p>
    <w:p>
      <w:r>
        <w:t>IT: GE_GERICHTE A/967/2020 del 9 giugno 2020</w:t>
      </w:r>
    </w:p>
    <w:p>
      <w:pPr>
        <w:pStyle w:val="Heading2"/>
      </w:pPr>
      <w:r>
        <w:t>Erwägungen</w:t>
      </w:r>
    </w:p>
    <w:p>
      <w:r>
        <w:rPr>
          <w:b/>
        </w:rPr>
        <w:t>E. 1</w:t>
      </w:r>
    </w:p>
    <w:p>
      <w:r>
        <w:t>ère section dans la cause Monsieur A______ contre PRISON DE CHAMP-DOLLON EN FAIT 1) Monsieur A______ est incarcéré à la prison de Champ-Dollon (ci-après : la prison) depuis le ______ 2020 en exécution d'une peine privative de liberté. 2) Il ressort d'un rapport d'un agent de détention de Champ-Dollon que le 18 février 2020, à 11h10, lors du service des repas, M. A______ avait dit : « Ce fils de pute de raciste de gardien du sport ne nous a pas laissé aller au sport ». Le gardien présent l'avait interpellé en lui demandant de veiller à son langage en parlant d'un agent de détention. M. A______ lui avait répondu : « Toi, ce n'est pas avec toi que je parle, je m'en fous ! ». 3) Par décision du même jour, M. A______ a été sanctionné de trois jours de cellule forte, du 18 février 2020 à 12h au 21 février 2020 à 12h. Il a été entendu le 18 février 2020 à 16h25. La sanction lui a été notifiée à 16h30. 4) Par acte du 12 mars 2020, M. A______ a interjeté recours auprès de la chambre administrative de la Cour de justice (ci-après : la chambre administrative) contre la sanction disciplinaire du 18 février 2020. Il contestait les faits. 5) Par acte spontané du 6 mars 2020, reçu par la chambre administrative le 8 avril 2020, M. A______ a fait parvenir à la chambre de céans une lettre de cinq pages en anglais. 6) La prison a conclu au rejet du recours. 7) Le détenu n'ayant pas souhaité répliquer dans le délai qui lui avait été imparti, les parties ont été informées que la cause était gardée à juger. 8) Selon les informations transmises par la prison à la chambre administrative, M. A______ n'est plus détenu à la prison, ayant fait l'objet d'une libération conditionnelle le ______ 2020. EN DROIT 1) Interjeté en temps utile devant la juridiction compétente, le recours est recevable (art. 132 de la loi sur l'organisation judiciaire du 26 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 Pierre MOOR/Étienne POLTIER, Droit administratif, vol. 2, 2011, p. 748 n. 5.7.2.3 ; Thierry TANQUEREL, Manuel de droit administratif, 2018,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Dans sa jurisprudence concernant le placement d'un prisonnier en cellule forte ou aux arrêts disciplinaires - applicable suivant les circonstances à d'autres sanctions disciplinaires -, compte tenu de la brièveté de la sanction, lorsque le recourant est encore en détention au moment du prononcé de la décision querellée, la chambre administrative fait en principe abstraction de l'exigence de l'intérêt actuel, faute de quoi un telle mesure échapperait systématiquement à son contrôle ( ATA/135/2019 du 12 février 2019 consid. 3 ; ATA/1272/2017 précité consid. 2c ; ATA/29/2017 du 17 janvier 2017 consid. 2d ; ATA/118/2015 du 27 janvier 2015 consid. 2c ; ATA/510/2014 du 1 er juillet 2014 consid. 3b). 3) En l'espèce, le recourant a été libéré le ______ 2020. Aucun élément du dossier ne laisse à penser qu'il serait susceptible d'être incarcéré à nouveau. En application de la jurisprudence précitée et constante de la chambre de céans, il n'y a dès lors aucune raison de passer outre l'exigence de l'intérêt actuel ( ATA/1030/2019 du 18 juin 2019 ; ATA/555/2018 du 5 juin 2018 consid. 2f et les références citées). Vu ce qui précède, le recours a perdu son objet en cours de procédure, ce qu'il y a lieu de constater. La cause devra être rayée du rôle. 4) 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