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A/964/2015 vom 20. Juni 2012</w:t>
      </w:r>
    </w:p>
    <w:p>
      <w:r>
        <w:t>GE Cour de justice, 2012-06-20, FR</w:t>
      </w:r>
    </w:p>
    <w:p>
      <w:r>
        <w:rPr>
          <w:b/>
        </w:rPr>
        <w:t xml:space="preserve">Quelle: </w:t>
      </w:r>
      <w:r>
        <w:t>https://mcp.opencaselaw.ch/entscheid/ge_gerichte_A_964_2015</w:t>
      </w:r>
    </w:p>
    <w:p>
      <w:r>
        <w:t>FR: GE_GERICHTE A/964/2015 du 20 juin 2012</w:t>
      </w:r>
    </w:p>
    <w:p>
      <w:r>
        <w:t>IT: GE_GERICHTE A/964/2015 del 20 giugno 2012</w:t>
      </w:r>
    </w:p>
    <w:p>
      <w:pPr>
        <w:pStyle w:val="Heading2"/>
      </w:pPr>
      <w:r>
        <w:t>Erwägungen</w:t>
      </w:r>
    </w:p>
    <w:p>
      <w:r>
        <w:rPr>
          <w:b/>
        </w:rPr>
        <w:t>E. 1</w:t>
      </w:r>
    </w:p>
    <w:p>
      <w:r>
        <w:t>ère section dans la cause Monsieur A______ contre OFFICE CANTONAL DU LOGEMENT ET DE LA PLANIFICATION FONCIÈRE EN FAIT 1) Par décision du 20 juin 2012, adressée à Madame B______, ainsi qu’à Monsieur A______, domiciliés dans un appartement HBM à l’adresse ______ 1219 Le Lignon, l’office du logement, devenu depuis lors l’office cantonal du logement et de la planification foncière (ci-après : OCLPF), a notifié aux intéressés des surtaxes de divers montants pour la période allant du 1 er février 2010 au 31 mars 2013, d’une valeur totale de CHF 24'196.30. ![endif]&gt;![if&gt; Cette décision n’ayant pas fait l’objet d’une opposition, elle est devenue définitive et exécutoire. 2) Le 5 décembre 2014, M. A______, Mesdames C______ et B______, ainsi que Monsieur D______ se sont adressés à l’autorité intimée. À plusieurs reprises, ils avaient communiqué des modifications de situation. Depuis le 16 août 2012, M. D______ et sa famille avaient habité l’appartement en question. M. A______ y avait résidé jusqu’au 31 décembre 2013. Mme B______ n’y résidait plus depuis 2010. Mme C______ n’y habitait plus non plus depuis le 16 août 2012. ![endif]&gt;![if&gt; Au vu de ces éléments, la surtaxe qui leur avait notifiée devait être reconsidérée à dater de l’arrivée de la famille de M. D______ afin que le revenu corresponde aux locataires actuels. 3) Le 19 février 2015, l’OCLPF a refusé d’entrer en matière sur la demande de reconsidération, les moyens mis en avant ne constituant pas des faits ou des moyens de preuve nouveaux, mais bien des informations qui auraient dû et pu être communiquées en temps voulu. La demande de pièces justificatives adressée le 13 décembre 2013 était restée sans réponse. ![endif]&gt;![if&gt; 4) Le 20 mars 2015, M. A______ a saisi la chambre administrative de la Cour de justice (ci-après : la chambre administrative) d’un recours contre la décision précitée, reçue le 23 février 2015.![endif]&gt;![if&gt; Depuis le mois de juillet 2012, son frère, M. D______, et les quatre enfants de ce dernier occupaient l’appartement en question. Il est exact que lui-même avait oublié d’en informer les instances concernées. Il faisait face à l’époque à des problèmes liés à la rupture qu’il venait de vivre avec la mère de ses enfants. Depuis 2012, la surtaxe ne devait plus être calculée sur ses revenus personnels, mais sur ceux de son frère, qui à l’AI, recevait une rente de CHF 68'160.- ainsi que CHF 7'776.- d’allocations familiales. 5) Le 24 avril 2015, l’OCLPF a conclu au rejet du recours pour les motifs figurant dans la décision initiale. Les éléments mis en avant pouvaient parfaitement être invoqués lors de la notification des décisions de surtaxe en 2012. Il n’y avait pas de motif de reconsidération. ![endif]&gt;![if&gt; 6) Dans le délai qui lui avait été accordé pour exercer son droit à la réplique, M. A______ a maintenu ses conclusions antérieures. M. D______ avait signé une reconnaissance de dettes. Les occupants successifs de l’appartement étaient indiqués dans cette détermination. ![endif]&gt;![if&gt; 7)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droit genevois, l’obligation de reconsidération d’une décision par l’autorité qui l’a prise est réglée à l’art. 48 LPA. ![endif]&gt;![if&gt;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 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3) En l’espèce, le recourant n’évoque aucun moyen répondant aux exigences rappelées ci-dessus. La décision initiale et ses annexes indiquaient, sans erreur possible, les personnes dont il était admis qu’elles occupent l’appartement en question pendant la période litigieuse. Le demandeur en révision pouvait à l’évidence faire valoir les éventuelles erreurs commises par l’administration dans le cadre d’une procédure de recours. Il ne l’a pas fait, demandant seulement, le 31 juillet 2012, des facilités de paiement concernant la surtaxe « pour l’appartement que nous occupons actuellement ». Il n’a de plus pas transmis à l’autorité d’indications concernant d’éventuelles modifications du groupe familial.![endif]&gt;![if&gt; Dans ces conditions, la décision de l’autorité ne peut qu’être confirmée, et le recours rejeté. 4) L'art. 11 du règlement sur les frais, émoluments et indemnités en procédure administrative du 30 juillet 1986 (RFPA - E 5 10.03) prévoit que la procédure est gratuite en matière de surtaxe HLM mais est muet s'agissant d'une surtaxe HBM.![endif]&gt;![if&gt; Les appartements HLM étant destinés à des personnes à revenu modeste et les appartements HBM à des personnes à revenu très modeste, il serait contraire à la ratio legis de l'article précité de mettre à la charge des recourants locataires d'appartements HBM un émolument pour une contestation de surtaxe, ce d'autant plus que dans une jurisprudence de la chambre de céans ( ATA/606/2011 du 27 septembre 2011 consid. 4), aucun émolument n'avait été mis à la charge de recourants locataires d'un appartement HBM qui avaient contesté une décision de surtaxe ( ATA/607/2014 du 29 juillet 2014 ; ATA/299/2014 du 29 avril 2014 consid. 9). Le recourant ne sera dès lors pas astreint au paiement d'un émolument.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