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A/963/2022 vom 25. April 2023</w:t>
      </w:r>
    </w:p>
    <w:p>
      <w:r>
        <w:t>GE Cour de justice, 2023-04-25, FR</w:t>
      </w:r>
    </w:p>
    <w:p>
      <w:r>
        <w:rPr>
          <w:b/>
        </w:rPr>
        <w:t xml:space="preserve">Quelle: </w:t>
      </w:r>
      <w:r>
        <w:t>https://mcp.opencaselaw.ch/entscheid/ge_gerichte_A_963_2022</w:t>
      </w:r>
    </w:p>
    <w:p>
      <w:r>
        <w:t>FR: GE_GERICHTE A/963/2022 du 25 avril 2023</w:t>
      </w:r>
    </w:p>
    <w:p>
      <w:r>
        <w:t>IT: GE_GERICHTE A/963/2022 del 25 aprile 2023</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Interjeté dans la forme et le délai – de trente jours – prévus par la loi, l'acte de recours est recevable (art. 56 ss LPGA).![endif]&gt;![if&gt;</w:t>
      </w:r>
    </w:p>
    <w:p>
      <w:r>
        <w:rPr>
          <w:b/>
        </w:rPr>
        <w:t>E. 3</w:t>
      </w:r>
    </w:p>
    <w:p>
      <w:r>
        <w:t>Le litige porte sur le bien-fondé, subsidiairement la durée, de la suspension du droit du recourant à l'indemnité de chômage en raison d'un nombre de RPE, durant la période de contrôle du mois d'octobre 2021, considéré comme insuffisant par l'intimé.![endif]&gt;![if&gt;</w:t>
      </w:r>
    </w:p>
    <w:p>
      <w:r>
        <w:rPr>
          <w:b/>
        </w:rPr>
        <w:t>E. 4</w:t>
      </w:r>
    </w:p>
    <w:p>
      <w:r>
        <w:t>![endif]&gt;![if&gt;</w:t>
      </w:r>
    </w:p>
    <w:p>
      <w:r>
        <w:rPr>
          <w:b/>
        </w:rPr>
        <w:t>E. 4.1</w:t>
      </w:r>
    </w:p>
    <w:p>
      <w:r>
        <w:t>L'art. 8 LACI énumère les conditions d'octroi de l'indemnité de chômage. Conformément à l'art. 8 al. 1 LACI, l'assuré doit, pour bénéficier de cette prestation prévue par l'art. 7 al. 2 let. a LACI, notamment satisfaire aux exigences de contrôle (let. g).![endif]&gt;![if&gt; Les conditions de l'art. 8 al. 1 LACI,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est tenu d'accepter tout travail convenable qui lui est proposé (al. 3 1 ère phr.).</w:t>
      </w:r>
    </w:p>
    <w:p>
      <w:r>
        <w:rPr>
          <w:b/>
        </w:rPr>
        <w:t>E. 4.2</w:t>
      </w:r>
    </w:p>
    <w:p>
      <w:r>
        <w:t>La violation des obligations que l'art. 17 LACI impose à l'assuré expose ce dernier à une suspension de son droit à l'indemnité.![endif]&gt;![if&gt; En effet, aux termes de l'art. 30 al. 1 LACI, le droit de l'assuré à l'indemnité est suspendu entre autres lorsqu'il est établi que celui-ci ne fait pas tout ce qu'on peut raisonnablement exiger de lui pour trouver un travail convenable (let. c) ainsi que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Conformément à l'art. 30 al. 2 LACI, l'autorité cantonale prononce les suspensions notamment au sens de l'al. 1 let. c et d.</w:t>
      </w:r>
    </w:p>
    <w:p>
      <w:r>
        <w:rPr>
          <w:b/>
        </w:rPr>
        <w:t>E. 4.3</w:t>
      </w:r>
    </w:p>
    <w:p>
      <w:r>
        <w:t>Sous l'angle plus précisément de l'art. 30 al. 1 let. c LACI, l'art. 26 al. 1 OACI, intitulé « recherches personnelles de l'assuré pour trouver du travail », prévoit que l'assuré doit cibler ses RPE, en règle générale selon les méthodes de postulation ordinaires.![endif]&gt;![if&gt; Pour trancher le point de savoir si l’assuré a fait des efforts suffisants pour trouver un travail convenable, il faut tenir compte aussi bien de la quantité que de la qualité de ses recherches (ATF 124 V 225 consid. 4a et l’arrêt cité; arrêt du Tribunal fédéral C 77/06 du 6 mars 2007 consid. 3.1). Il n’existe pas de règle fixant le nombre minimum d’offres d’emploi qu’un chômeur doit effectuer. Cette question s’apprécie selon les circonstances concrètes au regard de l’obligation qui lui est faite de diminuer le dommage. Cependant, sur le plan quantitatif, la jurisprudence considère que dix à douze recherches d'emploi par mois sont en principe suffisantes (cf. ATF 124 V 225 consid. 6; arrêt du Tribunal fédéral C 258/06 du 6 février 2007 consid. 2.2). On ne peut cependant s'en tenir de manière schématique à une limite purement quantitative et il faut examiner la qualité des démarches de l'assuré au regard des circonstances concrètes, des recherches ciblées et bien présentées valant parfois mieux que des recherches nombreuses (arrêts du Tribunal fédéral 8C_192/2016 du 22 septembre 2016 consid. 3.2, 8C_589/2009 du 28 juin 2010 consid. 3.2 et C 176/05 du 28 août 2006 consid. 2.2; Boris RUBIN, op. cit., n. 26 ad. art. 17 LACI).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 6/05 du 6 mars 2006). L'activation de réseau ne cadre pas avec les exigences de l'art. 26 al. 1 LACI (Boris RUBIN, op. cit., n. 26 ad art. 17 LACI).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(arrêt du Tribunal fédéral C 77/06 précité consid. 3.1; Boris RUBIN, Assurance-chômage, Droit fédéral, Survol des mesures cantonales, Procédure, 2 ème éd., 2006, p. 391 et 393). Par ailleurs, des recherches ciblées sur des postes pour lesquels l'assuré ne remplit pas les exigences professionnelles requises (formation de base, formation continue, connaissances supplémentaires, expérience) sont inefficaces et contribuent à la prolongation du chômage (Boris RUBIN, La suspension du droit à l’indemnité de chômage, in DTA 2017 p. 9).</w:t>
      </w:r>
    </w:p>
    <w:p>
      <w:r>
        <w:rPr>
          <w:b/>
        </w:rPr>
        <w:t>E. 4.4</w:t>
      </w:r>
    </w:p>
    <w:p>
      <w:r>
        <w:t>La durée de la suspension du droit à l'indemnité de chômage doit être proportionnelle à la gravité de la faute (art. 30 al. 3 LACI). Aux termes de l'art. 45 al. 3 OACI, la durée de la suspension dans l'exercice du droit à l'indemnité est de 1 à 15 jours en cas de faute légère (let. a), de 16 à 30 jours en cas de faute de gravité moyenne (let. b) et de 31 à 60 jours en cas de faute grave (let. c). Si l'assuré est suspendu de façon répétée dans son droit à l'indemnité, la durée de suspension est prolongée en conséquence. Les suspensions subies pendant les deux dernières années sont prises en compte dans le calcul de la prolongation (al. 5).![endif]&gt;![if&gt;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Bulletin LACI IC, D64; aussi arrêts du Tribunal fédéral 8C_487/2007 du 23 novembre 2007 et C 23/07 du 2 mai 2007; Boris RUBIN, op. cit., n. 105 ad art. 30 LACI). En tant qu'autorité de surveillance, le SECO a adopté un barème (indicatif) – le Bulletin LACI IC –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 12 août 2014 consid. 5.1). S'agissant plus particulièrement de la sanction appliquée en cas de recherches insuffisantes durant la période de contrôle, le SECO préconise une durée de 3 à 4 jours pour un premier manquement, de 5 à 9 jours pour un second et de 10 à 19 jours pour le troisième (cf. Bulletin LACI/IC, D79 / 1.C). Selon la jurisprudence du Tribunal fédéral, l'art. 45 al. 3 OACI pose une règle dont l'administration et le juge des assurances peuvent s'écarter lorsque des circonstances particulières le justifient. Dans ce sens, leur pouvoir d'appréciation n'est pas limité par la durée minimum de suspension fixée par cette disposition pour les cas de faute grave (ATF 130 V 125 ; Bulletin LACI IC, D73).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ATF 125 V 195 consid. 2). Il n’existe pas, en droit des assurances sociales, un principe selon lequel l’administration ou le juge devrait statuer, dans le doute, en faveur de l’assuré (ATF 126 V 322 consid. 5a).![endif]&gt;![if&gt;</w:t>
      </w:r>
    </w:p>
    <w:p>
      <w:r>
        <w:rPr>
          <w:b/>
        </w:rPr>
        <w:t>E. 6</w:t>
      </w:r>
    </w:p>
    <w:p>
      <w:r>
        <w:t>![endif]&gt;![if&gt;</w:t>
      </w:r>
    </w:p>
    <w:p>
      <w:r>
        <w:rPr>
          <w:b/>
        </w:rPr>
        <w:t>E. 6.1</w:t>
      </w:r>
    </w:p>
    <w:p>
      <w:r>
        <w:t>En l'espèce, concernant la recherche d'emploi auprès de C______, la première inscription en septembre 2021 comptait comme une recherche personnelle d'emploi. En revanche pour que celle d'octobre 2021 puisse être prise en compte, il devait s'agir d'une postulation à un poste spécifique. En audience, le recourant a précisé ne pas avoir reçu en retour par courriel une copie de sa postulation par internet. Il ne se souvenait plus de l'intitulé précis du poste ; il pensait qu'il s'agissait d'un poste dans le domaine de l'horlogerie. L'intimé a sollicité à deux reprises du recourant qu'il apporte des documents relativement à cette dernière postulation. Il en va de même de la chambre de céans qui a invité le recourant à fournir des documents en lien avec cette postulation (échanges de courriels avec le nouveau responsable chez C______ et modèle d'attestation que celui aurait refusé de signer). Ces requêtes sont restées sans réponse. Par conséquent, le recourant, au vu de l'imprécision dans les renseignements apportés, n’a pas apporté la preuve, ni même rendu vraisemblable, qu’il avait postulé en octobre 2021 à un poste déterminé pouvant être comptabilisé en tant que recherche personnelle d'emploi.![endif]&gt;![if&gt; S'agissant de l'appel téléphonique à Monsieur E______, cette recherche d'emploi constitue, au mieux, une activation du réseau du recourant, comme cela ressort des déclarations de celui-ci en audience. Or, selon le Tribunal fédéral, des démarches de la personne assurée consistant essentiellement en des discussions informelles au sein de son réseau de connaissances, bien que non dépourvues d'utilité, ne sauraient être assimilées à des démarches concrètes adressées à un employeur potentiel, selon les méthodes de postulation ordinaires prescrites aux articles 17 LACI et 26 OACI (arrêt du Tribunal fédéral 8C_463/2018 du 14 mars 2019 consid. 6.2). Au demeurant, Monsieur E______ a été contacté en octobre 2021 en lien avec un éventuel poste dans la sécurité chez H______, et cet appel fait en tout état doublon par rapport à l'appel à Monsieur I______ – ou J______ - de septembre 2021, doublon qui existe aussi, de manière non contestée, concernant Monsieur D______. Relativement aux postes de gérant d'immeuble, selon les descriptions de ces emplois, le profil recherché devait, entre autres, posséder un certificat fédéral de capacité (CFC) d'employé de commerce, avoir effectué des formations complémentaires dans le domaine de l'immobilier et être au bénéfice d'une expérience professionnelle de plusieurs années comme gérant d'immeuble avec de bonnes connaissances du droit du bail. Le curriculum vitae que le recourant a remis à l’intimé n'atteste aucunement d'une expérience professionnelle ou d'une formation dans ce secteur d'activité. En outre, il n’est guère vraisemblable que les formations de l'assuré en comptabilité, commerce et management soient suffisantes pour correspondre aux exigences de ces postes spécialisés en immobilier et droit du bail. Ainsi, ces postulations ne pouvaient pas être considérées comme conforme aux qualifications du recourant et sont ainsi inefficaces au vu du devoir qu'incombe à l'assuré de cibler ses recherches d’emploi. Étant donné les considérations qui précèdent, c'est à juste titre que l'intimé n'a pas tenu compte des recherches personnelles d'emploi litigeuses.</w:t>
      </w:r>
    </w:p>
    <w:p>
      <w:r>
        <w:rPr>
          <w:b/>
        </w:rPr>
        <w:t>E. 7</w:t>
      </w:r>
    </w:p>
    <w:p>
      <w:r>
        <w:t>![endif]&gt;![if&gt;</w:t>
      </w:r>
    </w:p>
    <w:p>
      <w:r>
        <w:rPr>
          <w:b/>
        </w:rPr>
        <w:t>E. 7.1</w:t>
      </w:r>
    </w:p>
    <w:p>
      <w:r>
        <w:t>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En vertu de l'art. 22 OACI, les organes d’exécution mentionnés à l’art. 76 al. 1 let. a à d LACI – ici l'OCE – renseignent les assurés sur leurs droits et obligations, notamment sur la procédure d’inscription et leur obligation de prévenir et d’abréger le chômage (al. 1). Les autorités cantonales – ici l'office – et les offices régionaux de placement (ORP) renseignent les assurés sur leurs droits et obligations entrant dans les domaines d’activité spécifiques (art. 85 et 85b LACI; al. 3).![endif]&gt;![if&gt; Selon la jurisprudence,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8.3 non publié in ATF 135 V 339 , et les références). De manière générale, on doit également exiger de l'assuré un minimum d'attention, de réflexion et de bon sens (arrêt du Tribunal fédéral 9C_1005/2008 du 5 mars 2009 consid. 3.2.2; ATAS/557/2022 du 27 mai 2022 consid. 4.1).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de la Constitution fédérale de la Confédération suisse du 18 avril 1999 (Cst. - RS 101 ; ATF 131 V 472 consid. 5; arrêt du Tribunal fédéral 8C_601/2009 du 31 mai 2010 consid. 4.1). D'après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que (e)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précité consid. 4.1).</w:t>
      </w:r>
    </w:p>
    <w:p>
      <w:r>
        <w:rPr>
          <w:b/>
        </w:rPr>
        <w:t>E. 7.2</w:t>
      </w:r>
    </w:p>
    <w:p>
      <w:r>
        <w:t>En l'occurrence, concernant C______, conformément à ce qui était indiqué dans le contrat d'objectifs du 8 avril 2021, les justificatifs des recherches personnelles d'emploi devaient être conservés et présentés sur demande. Dans ce document, il est également mentionné la procédure de prise en compte des postulations auprès d'agences de placement. Compte tenu de ces éléments, la chambre de céans considère qu’il est établi que l’intimé a rempli son devoir d’information auprès du recourant. ![endif]&gt;![if&gt; S'agissant des discussions informelles au sein de son réseau de connaissances, dans la mesure où il ressort du journal « PV – Entretiens de conseil » tenu par l'ORP, en particulier de l'entretien du 20 septembre 2021, que ses RPE avaient déjà été refusées en raison du fait qu'il s'agissait de « contacts de contacts pas plus d'info », l’assuré est considéré comme valablement informé à ce sujet. En outre, l'allégation du recourant selon laquelle il avait convenu d'un commun accord avec sa conseillère que l'activité recherchée pouvait être étendue au secteur de l'immobilier est imprécise et ne repose sur aucun élément de fait ou même indice qui permettrait éventuellement de penser qu'il y aurait eu un renseignement erroné de la part de ladite conseillère en personnel en matière de RPE. Au demeurant, le journal « PV – Entretiens de conseil » ne montre pas un tel éventuel renseignement de la part d'une conseillère en personnel ; au contraire, il est noté le 8 avril 2021 : « A confirmer : projets professionnels réaliste et réalisables dans le domaine administratif, commercial et dans le sport » ; le 30 juin 2021 « Frein : pour ouvrir sur projet prof autre que la sécurité doit montrer/ prouver ses compétences » ; le 26 octobre 2021 « objectif : étudier les potentialités et selon si réaliste et réalisable les valider comme projet professionnel : cité des métiers par exemple sur info sur le métier de sertisseur ». Ces éléments corroborent les explications données par la conseillère en personnel lors de l'audience devant la chambre de céans le 14 mars 2023, selon lesquelles il lui arrivait fréquemment de recadrer l'assuré sur le cadre légal au sujet des postes réalistes et réalisables et que l'assuré devait ainsi se rendre compte que ses postulations comme gérant d'immeuble sortaient de ce cadre. Au surplus, dans le plan d'action du 29 novembre 2021, la conseillère en personnel fait référence à un l'entretien ayant eu lieu le même jour et sollicite de l'assuré les deux descriptifs des postes de gérant d'immeuble, ce qui est contraire aux déclarations du recourant qui soutient que ce secteur d'activité avait été validé par sa conseillère en personnel. Dans ces circonstances, il est établi au degré de la vraisemblance prépondérante que le recourant a été correctement informé. L'argument du recourant consistant à invoquer sa postulation en avril 2021 auprès d'une entreprise dans le secteur de l'immobilier ne saurait être suivi. Aucune règle juridique ni aucun principe ne permettent à un justiciable de se prévaloir de l'absence de sanction passée pour d'anciens manquements pour considérer qu'il ne pourrait plus ultérieurement être sanctionné en raison de ces mêmes manquements ( ATAS/669/2022 du 19 juillet 2022 consid. 6.3.3). L'assuré ne saurait ainsi invoquer le principe de la bonne foi qui, découlant directement de l'art. 9 Cst. et valant pour l'ensemble de l'activité étatique,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ATAS/669/2022 précité consid. 6.3.3). Par ailleurs, cette postulation du mois d'avril 2021 auprès d'une entreprise immobilière concernait un poste de commercial/ vendeur pour lequel les exigences étaient très vraisemblablement autres que celles requises pour l'activité de gérant d'immeuble.</w:t>
      </w:r>
    </w:p>
    <w:p>
      <w:r>
        <w:rPr>
          <w:b/>
        </w:rPr>
        <w:t>E. 7.3</w:t>
      </w:r>
    </w:p>
    <w:p>
      <w:r>
        <w:t>Vu ce qui précède, est établi le principe d'une sanction, sous forme de suspension du droit du recourant à l'indemnité de chômage, pour le fait que celui-ci a effectué des RPE en nombre insuffisant, à savoir quatorze moins cinq, donc en nombre inférieur au minimum de dix requis.![endif]&gt;![if&gt;</w:t>
      </w:r>
    </w:p>
    <w:p>
      <w:r>
        <w:rPr>
          <w:b/>
        </w:rPr>
        <w:t>E. 8</w:t>
      </w:r>
    </w:p>
    <w:p>
      <w:r>
        <w:t>Pour ce qui est de la quotité de cette sanction, le barème du SECO (Bulletin LACI IC, D79 / 1.C) prévoit, pour des RPE insuffisantes durant la période de contrôle, une durée de suspension de 3 à 4 jours pour la première fois. Étant donné qu'il s'agit du troisième manquement pour un fait différent, la durée de suspension du dernier manquement peut être ajouté de quelques jours de suspension.![endif]&gt;![if&gt; En l'espèce, les RPE ont été en nombre insuffisant durant la période de contrôle, il ne s'agissait pas du premier manquement du recourant et celui-ci ne fait valoir aucune circonstance pertinente qui pourrait être éventuellement de nature à permettre une suspension d'une durée inférieure à 6 jours.</w:t>
      </w:r>
    </w:p>
    <w:p>
      <w:r>
        <w:rPr>
          <w:b/>
        </w:rPr>
        <w:t>E. 9</w:t>
      </w:r>
    </w:p>
    <w:p>
      <w:r>
        <w:t>En conséquence, la décision sur opposition querellée est en tous points conforme au droit.![endif]&gt;![if&gt;</w:t>
      </w:r>
    </w:p>
    <w:p>
      <w:r>
        <w:rPr>
          <w:b/>
        </w:rPr>
        <w:t>E. 10</w:t>
      </w:r>
    </w:p>
    <w:p>
      <w:r>
        <w:t>Le recours est, partant, rejeté.![endif]&gt;![if&gt; La procédure est gratuite (art. 61 let. fbis a contrario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