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A/963/2007 vom 16. Oktober 2007</w:t>
      </w:r>
    </w:p>
    <w:p>
      <w:r>
        <w:t>GE Cour de justice, 2007-10-16, FR</w:t>
      </w:r>
    </w:p>
    <w:p>
      <w:r>
        <w:rPr>
          <w:b/>
        </w:rPr>
        <w:t xml:space="preserve">Quelle: </w:t>
      </w:r>
      <w:r>
        <w:t>https://mcp.opencaselaw.ch/entscheid/ge_gerichte_A_963_2007</w:t>
      </w:r>
    </w:p>
    <w:p>
      <w:r>
        <w:t>FR: GE_GERICHTE A/963/2007 du 16 octobre 2007</w:t>
      </w:r>
    </w:p>
    <w:p>
      <w:r>
        <w:t>IT: GE_GERICHTE A/963/2007 del 16 ottobre 2007</w:t>
      </w:r>
    </w:p>
    <w:p>
      <w:pPr>
        <w:pStyle w:val="Heading2"/>
      </w:pPr>
      <w:r>
        <w:t>Volltext</w:t>
      </w:r>
    </w:p>
    <w:p>
      <w:r>
        <w:t>Genève Cour de justice (Cour de droit public) Chambre des assurances sociales 16.10.2007 A/963/2007</w:t>
      </w:r>
    </w:p>
    <w:p>
      <w:r>
        <w:t>A/963/2007 ATAS/1126/2007 du 16.10.2007 ( LAA ) , REJETE En fait En droit RÉPUBLIQUE ET CANTON DE GENÈVE POUVOIR JUDICIAIRE A/963/2007 ATAS/1126/2007 ARRET DU TRIBUNAL CANTONAL DES ASSURANCES SOCIALES Chambre 2 du 16 octobre 2007 En la cause Madame F_________, domiciliée , COINTRIN, comparant avec élection de domicile en l'étude de Maître ZWAHLEN Guy recourante contre CSS ASSURANCE, p.a Droit &amp; compliance;Tribschenstrasse 21, LUCERNE intimée EN FAIT Madame F_________ (ci-après la recourante), née en 1946, vendeuse en pâtisserie et en confiserie de formation, a été employée dans l'entreprise de boulangerie-pâtisserie-confiserie de son mari, de 1970 à 2004. En date du 27 décembre 2001, la recourante a glissé dans un parking souterrain et s'est fracturé le poignet droit. Une opération a eu lieu le même jour, et un matériel d'ostéosynthèse a été posé.Tout d'abord totalement incapable de travailler, la recourante a repris une activité à 50 % le 1er mars 2002. CSS ASSURANCE (ci-après l'intimée) a pris en charge le cas. En raison d'une complication sous la forme de la rupture du long extenseur du pouce droit, une nouvelle opération a eu lieu au mois de juin 2002. Le 30 septembre 2002, le Dr  A_________, spécialiste en chirurgie de la main, attestait d'une fonction complète du transfert (extension du pouce), d'une fracture en voie de guérison avec recouvrement de la mobilité de la chaîne articulaire du poignet dans les délais, et d'une proposition de traitement de la cicatrice (adhérence de la peau entraînant une gêne mécanique). Consulté pour un deuxième avis par la recourante, le Dr  B_________, spécialiste en chirurgie de la main, attestait le 13 novembre 2002 de ce que, malgré le mécontentement de sa patiente, il constatait cliniquement « une évolution tout à fait favorable avec des amplitudes du poignet tout à fait satisfaisantes et une réanimation du pouce du long extenseur tout à fait correcte ». Consultée pour un troisième avis par la recourante, la Dresse  C_________, spécialiste en chirurgie de la main, a attesté, dans un rapport médical intermédiaire à l'attention de l'intimée, le 19 février 2003, d'un status post-fracture du poignet droit avec rupture « de l'EPL dans les suites et algodystrophies ». Une correction chirurgicale de la cicatrice peut éventuellement être prévue, aucun rendez-vous n'est fixé pour l'instant. S'agissant de la reprise du travail, le médecin renvoie au Dr A_________. Le Dr  D_________, chirurgien de la main, relève dans son rapport intermédiaire du 25 juillet 2003 la présence d'une adhérence sur la cicatrice, propose la correction de la cicatrice, et indique qu'aucun arrêt de travail n'est signalé. La résection de la cicatrice a finalement eu lieu, le 13 octobre 2003, avec arrêt de travail dès cette date. Au mois de juin 2004, le Dr  D_________ préconise une thalassothérapie, mentionne une invalidité partielle à craindre, et suggère une expertise au vu de l'importance du handicap. Il opérera à nouveau la recourante le 8 décembre 2004 pour révision chirurgicale avec transfert du tendon long extenseur en arrière du tubercule de Lister. L'incapacité de travail est à nouveau totale. La SUVA a procédé à l'audition de la recourante et rédigé un rapport le 29 mars 2005. Après la description de son travail en boulangerie, la recourante a expliqué les limitations fonctionnelles qu'elle avait subies à la reprise de son activité (manque de force, manque de dextérité), et expliqué travailler depuis le 1er juillet 2004 à raison de quatre heures par semaine pour une fiduciaire (classement et photocopies, petits travaux administratifs). Elle a repris son activité lucrative après la dernière opération le 10 janvier 2005. Le Dr E_________, spécialiste en chirurgie orthopédique et médecin-conseil de la SUVA, a procédé à un examen médical final le 23 mai 2005. Après un résumé du dossier, la mention des plaintes de la recourante (douleurs toujours présentes au poignet droit, force et sensibilité diminuées), le médecin-conseil a procédé à l'examen clinique, puis à l'examen des radiographies du dossier. Dans son appréciation médicale, il conclut qu'après quatre interventions chirurgicales, le traitement est actuellement terminé et la situation stabilisée. Les limitations fonctionnelles sont les mouvements de force de la main droite, la flexion/extension répétitive du poignet droit, le mouvement de supination complète de manière répétitive de l'avant-bras droit. Dans un travail adapté tenant compte de ces limitations la recourante peut travailler avec un horaire complet. Il existe toutefois un dommage permanent fixé à 15 %. Par décision du 3 octobre 2005, l'intimée a alloué à la recourante une indemnité pour atteinte à l'intégrité (IPAI) de 15 %, soit 16'020.- fr. En revanche, les conditions pour l'octroi d'une rente ne sont pas remplies, les séquelles de l'accident ne réduisant pas la capacité de gain de façon importante. Acceptant le montant de l'IPAI, la recourante s'est toutefois opposé au refus de toute rente. Par décision sur opposition du 6 février 2007, l'intimée a maintenu sa position. Rappelant l'appréciation médicale de son médecin-conseil, l'intimée constate que la recourante ne subit pas de perte de gain, puisqu'elle réalisait un salaire annuel de 60'000.- fr. lorsqu'elle travaillait à 100 % dans la boulangerie de son époux, et pourrait réaliser dans son travail actuel au sein d'une fiduciaire un salaire de 63'964.- fr. par année pour une activité à temps plein, activité exigible d'elle. Dans son recours du 9 mars 2007, la recourante conclut préalablement à la suspension de l'instruction jusqu'à production d'un rapport d'ergothérapie, principalement à l'annulation de la décision litigieuse et au renvoi du dossier à l'intimée pour qu'elle procède à une nouvelle expertise qui apprécie la baisse de rendement consécutive aux séquelles de l'accident, avec suite de dépens. Rappelant les faits, elle constate que le médecin-conseil n'a pas analysé la baisse de rendement effective, et conteste pouvoir travailler avec un plein rendement dans une activité à plein temps, même dans son travail d'aide de bureau, qui est une activité adaptée. Elle souhaite effectuer un bilan d'ergothérapie et en produire le rapport. Dans sa réponse du 3 avril 2007, l'intimée s'oppose à la suspension de l'instruction, considérant que le bilan d'ergothérapie n'aura pas valeur d'expertise neutre et indépendante, et qu'une baisse de rendement ne serait pas forcément de nature à fonder le droit à une rente. En outre, la recourante conteste pour la première fois l'analyse médicale de son médecin-conseil. Par ordonnance du 5 avril 2007, le Tribunal de céans a autorisé la recourante à produire un bilan d'ergothérapie, et lui a fixé pour ce faire un délai au 30 mai 2007. La recourante a produit un rapport d'ergothérapie pré-professionnelle des HÔPITAUX UNIVERSITAIRES DE GENÈVE (HUG), secteur rééducation, et relève que s'il est confirmé qu'elle peut exercer une activité à temps plein, son rendement est considérablement diminué. Le Tribunal a transmis ce rapport à l'intimée, en la priant de le soumettre au médecin-conseil pour détermination. Par écriture du 13 août 2007, l'intimée conclut au rejet du recours. Elle constate que le bilan d'ergothérapie n'a pas chiffré la baisse de rendement retenue dans des activités demandant une manipulation manuelle. Son médecin-conseil relève, par ailleurs, que si les travaux répétitifs ne sont plus possibles avec la main droite, la recourante peut décharger celle-ci par l'utilisation de la main gauche, ou par l'utilisation d'aide, comme un chariot. Des activités suffisamment variées permettent d'éviter la fatigue de la main droite. Il ne retient dès lors aucune baisse de rendement dans l'activité actuelle, qui est adaptée, « presque idéale ». L'intimée rappelle que l'invalidité correspond à une diminution des possibilités de gain et non de la capacité de travail. En l'état, même une certaine baisse de rendement ne serait pas de nature à diminuer la capacité de gain de la recourante de 10 % au moins. Le Tribunal a transmis cette écriture et l'avis du médecin-conseil à la recourante, et l'a priée de se déterminer sur le maintien ou le retrait de son recours. Par courrier du 20 septembre 2007, la recourante a confirmé maintenir son recours. Elle relève que le médecin-conseil de l'intimée s'est prononcé sans avoir le document sous les yeux. L'activité de bureau, même légère, demande quelques efforts physiques car la recourante reçoit les clients, effectue les photocopies, fait des courses à la poste et chez divers commerçants, porte le courrier et le met sous pli, effectue du classement. Le rapport d'ergothérapie est précis et retient une lenteur d'exécution dans toutes les activités manuelles. L'intimée doit donc analyser cette question de façon concrète. En l'état il y a lieu de retenir une baisse de capacité de travail de 30 %, ce qui équivaut en l'espèce à une perte de gain du même pourcentage. Après transmission de cette écriture à l'intimée, par pli du 26 septembre 2007, le Tribunal a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est applicable en l'espèce, dès lors que les faits juridiquement déterminants se sont déroulés essentiellement postérieurement à son entrée en vigueur (cf. ATF 130 V 446 ss consid. 1, 129 V 4 consid. 1.2). Les modifications légales contenues dans la LPGA constituent d'ailleurs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la forme et le délai prévus par la loi, le recours est recevable, en vertu des art. 56 et ss LPGA. Le litige porte exclusivement sur le droit à une rente d'invalidité de la recourante. Aux termes de l'art. 6 al. 1 LAA, si la loi n'en dispose pas autrement, les prestations d'assurance sont allouées en cas d'accident professionnel, d'accident non professionnel et de maladie professionnelle. Selon l'art. 18 al. 1 er LAA, si l’assuré est invalide à 10 % au moins par suite d’un accident, il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plupart des éventualités assurées supposent l'instruction de faits d'ordre médical. Or, pour pouvoir établir le droit de l'assuré à des prestations, l'administration ou le juge a besoin de documents que le médecin doit lui fournir (ATF 122 V 158 consid. 1b; ATFA non publié du 13 octobre 2004, U 345/03,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Le Tribunal fédéral des assurances (TFA)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 En l'espèce, il est établi que l'activité antérieure n'est plus adaptée en raison du port de charges qu'elle impliquait (corbeilles de pain de 25 kilos, seaux de 5 kilos) et de manipulations précises devenues difficiles. En revanche, il est établi également que la recourante peut travailler à temps plein dans une activité adaptée et que l'activité d'aide du bureau qu'elle déploie actuellement auprès d'une fiduciaire correspond à une activité adaptée qui permet de respecter les limitations fonctionnelles. Les médecins de la recourante ne prétendent pas le contraire, pas plus que le bilan d'ergonomie ou que la recourante elle-même. Celle-ci allègue toutefois une baisse de rendement importante, quoique non chiffrée, qui aurait pour conséquence d'entraîner l'ouverture du droit à une rente, et s'appuie pour cela sur le bilan ergonomique effectué auprès des HUG. L'intimée le conteste et se réfère à l'évaluation de son médecin-conseil et au manque de précision, sur ce point, du bilan ergonomique. Le bilan d'ergonomie décrit les tâches exécutées comme suit : recevoir la clientèle et l'orienter à la personne demandée, classer le courrier dans les casiers, aller à la poste, timbrer le courrier, photocopier des documents et les remettre à l'ayant-droit, classer le courrier, rechercher des documents. Tout d'abord, il y a lieu de relever que l'analyse du médecin-conseil sur cette question est convaincante. Celui-ci explique en effet que les tâches que doit effectuer la recourante sont légères et variées, de sorte qu'elle peut aisément décharger son poignet droit à l'aide, d'une part, de sa main gauche, mais aussi, d'autre part, à l'aide d'accessoires, comme un chariot à roulettes dans le bureau lui-même pour le transport de dossiers. On ajoutera que s'agissant du transport du courrier à la poste ou des différents achats dans les commerces, la recourante peut avantageusement utiliser un caddie. Enfin, le bilan ergonomique lui-même retient que la recourante timbre le courrier de la main gauche. Ainsi, s'il paraît vraisemblable que certaines douleurs puissent apparaître, occasionnellement, on ne saurait retenir une baisse de rendement significative. À ce propos, force est de constater que le bilan ergonomique lui-même ne fait aucune estimation en pourcentage de la baisse de rendement qu'il retient, et surtout que le bilan porte tant sur l'activité antérieure que sur l'activité actuelle entretenant par là même une certaine confusion. En effet, le rapport traite tout d'abord du parcours professionnel de la recourante, puis du poste de travail dans la boulangerie, ensuite du poste de travail dans la fiduciaire, pour aboutir à l'évaluation des capacités fonctionnelles. Dans ce cadre, sous « manutention », est examinée la question du port d'un plateau en bimanuel, et il est précisé que pour poser le plateau rempli de marchandises, il y a une difficulté au moment de basculer le plateau et de le poser à plat sans verser les objets. Il est fait également état, au même endroit, du port de charges maximum avec la main droite (2 kilos) et avec la main gauche (5 kilos) s'agissant d'un seau. Ces deux activités n'ont toutefois rien à voir avec l'activité dans une fiduciaire et concernent plus vraisemblablement l'activité de vendeuse en boulangerie. Le bilan porte ensuite sur la sensibilité et sur les fonctions gestuelles, où l'on retient essentiellement une force diminuée à droite et une prise en crochet incorrecte à droite (enroulement incomplet). Le bilan se conclut sur l'appréciation de la recourante elle-même quant à ses limitations dans l'activité actuelle et par le constat d'une lenteur d'exécution « dans toutes les activités manuelles ». On peine toutefois à déterminer, à la lecture de ce bilan, si les activités d'aide de bureau, décrites ci-dessus, sont également, et dans quelle mesure alors, ralenties. En application du principe de la vraisemblance prépondérante, il convient dès lors de suivre l'avis du médecin-conseil de l'intimée et de retenir que, s'il y a une baisse de rendement, ce qui n'est pas établi à satisfaction, elle est faible et n'est pas de nature à générer une perte de gain supérieure à 10 %. Vu ce qui précède, le recours ne peut être que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