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A/958/2021 vom 18. August 2022</w:t>
      </w:r>
    </w:p>
    <w:p>
      <w:r>
        <w:t>GE Cour de justice, 2022-08-18, FR</w:t>
      </w:r>
    </w:p>
    <w:p>
      <w:r>
        <w:rPr>
          <w:b/>
        </w:rPr>
        <w:t xml:space="preserve">Quelle: </w:t>
      </w:r>
      <w:r>
        <w:t>https://mcp.opencaselaw.ch/entscheid/ge_gerichte_A_958_2021</w:t>
      </w:r>
    </w:p>
    <w:p>
      <w:r>
        <w:t>FR: GE_GERICHTE A/958/2021 du 18 août 2022</w:t>
      </w:r>
    </w:p>
    <w:p>
      <w:r>
        <w:t>IT: GE_GERICHTE A/958/2021 del 18 agosto 2022</w:t>
      </w:r>
    </w:p>
    <w:p>
      <w:pPr>
        <w:pStyle w:val="Heading2"/>
      </w:pPr>
      <w:r>
        <w:t>Erwägungen</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4</w:t>
      </w:r>
    </w:p>
    <w:p>
      <w:r>
        <w:t>Interjeté dans les forme et délai prévus par la loi, le recours est recevable (art. 56ss LPGA; art. 62 al. 1 de la loi sur la procédure administrative du 12 septembre 1985 [LPA - E 5 10]). ![endif]&gt;![if&gt;</w:t>
      </w:r>
    </w:p>
    <w:p>
      <w:r>
        <w:rPr>
          <w:b/>
        </w:rPr>
        <w:t>E. 5</w:t>
      </w:r>
    </w:p>
    <w:p>
      <w:r>
        <w:t>Le litige porte sur le droit éventuel du recourant à des prestations de l'assurance-invalidité, plus particulièrement sur la question de savoir si la situation s'est péjorée depuis la décision rendue par l'intimé en date du 25 février 2010, au point d'ouvrir un droit aux prestations à l'intéressé. ![endif]&gt;![if&gt;</w:t>
      </w:r>
    </w:p>
    <w:p>
      <w:r>
        <w:rPr>
          <w:b/>
        </w:rPr>
        <w:t>E. 6</w:t>
      </w:r>
    </w:p>
    <w:p>
      <w:r>
        <w:t>![endif]&gt;![if&gt;</w:t>
      </w:r>
    </w:p>
    <w:p>
      <w:r>
        <w:rPr>
          <w:b/>
        </w:rPr>
        <w:t>E. 6.1</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3.5).![endif]&gt;![if&gt;</w:t>
      </w:r>
    </w:p>
    <w:p>
      <w:r>
        <w:rPr>
          <w:b/>
        </w:rPr>
        <w:t>E. 6.2</w:t>
      </w:r>
    </w:p>
    <w:p>
      <w:r>
        <w:t>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w:t>
      </w:r>
    </w:p>
    <w:p>
      <w:r>
        <w:rPr>
          <w:b/>
        </w:rPr>
        <w:t>E. 6.3</w:t>
      </w:r>
    </w:p>
    <w:p>
      <w:r>
        <w:t>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![endif]&gt;![if&gt;</w:t>
      </w:r>
    </w:p>
    <w:p>
      <w:r>
        <w:rPr>
          <w:b/>
        </w:rPr>
        <w:t>E. 6.4</w:t>
      </w:r>
    </w:p>
    <w:p>
      <w:r>
        <w:t>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b).![endif]&gt;![if&gt;</w:t>
      </w:r>
    </w:p>
    <w:p>
      <w:r>
        <w:rPr>
          <w:b/>
        </w:rPr>
        <w:t>E. 7</w:t>
      </w:r>
    </w:p>
    <w:p>
      <w:r>
        <w:t>![endif]&gt;![if&gt;</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7.2</w:t>
      </w:r>
    </w:p>
    <w:p>
      <w:r>
        <w:t>![endif]&gt;![if&gt;</w:t>
      </w:r>
    </w:p>
    <w:p>
      <w:r>
        <w:rPr>
          <w:b/>
        </w:rPr>
        <w:t>E. 7.2.1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ATF 141 V 281 consid. 2.1 et 2.1.1; ATF 130 V 396 consid. 5.3 et 6).</w:t>
      </w:r>
    </w:p>
    <w:p>
      <w:r>
        <w:rPr>
          <w:b/>
        </w:rPr>
        <w:t>E. 7.2.2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rPr>
          <w:b/>
        </w:rPr>
        <w:t>E. 7.2.3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![endif]&gt;![if&gt;</w:t>
      </w:r>
    </w:p>
    <w:p>
      <w:r>
        <w:rPr>
          <w:b/>
        </w:rPr>
        <w:t>E. 7.2.4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3.2.2).![endif]&gt;![if&gt;</w:t>
      </w:r>
    </w:p>
    <w:p>
      <w:r>
        <w:rPr>
          <w:b/>
        </w:rPr>
        <w:t>E. 7.3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consid. 4.3.2) ![endif]&gt;![if&gt; C.     Complexe « Contexte social » (consid. 4.3.3)![endif]&gt;![if&gt; -          Catégorie « Cohérence » (aspects du comportement;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w:t>
      </w:r>
    </w:p>
    <w:p>
      <w:r>
        <w:t>![endif]&gt;![if&gt;</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8.3.2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8.3.3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w:t>
      </w:r>
    </w:p>
    <w:p>
      <w:r>
        <w:rPr>
          <w:b/>
        </w:rPr>
        <w:t>E. 10</w:t>
      </w:r>
    </w:p>
    <w:p>
      <w:r>
        <w:t>En l'espèce, l'intimé a nié toute incapacité de travail, se fondant pour cela sur les conclusions de l'expertise du Dr H______, dont il note qu'il a expliqué les raisons qui l’avaient fait s’éloigner de celles du Dr E______. ![endif]&gt;![if&gt; Le recourant conteste quant à lui les conclusions de l'expert, auquel il reproche en substance de sous-estimer ses difficultés, notamment à assumer son ménage. Il allègue qu'il néglige ses obligations administratives depuis toujours, relève des inexactitudes dans la relation de la manière dont ont pris fin ses rapports de travail, explique avoir cessé de prendre de la Ritaline parce que celle-ci avait sur lui des effets secondaires insupportables (tachycardie) et souligne que les problèmes qu'il rencontre ne sont pas ceux de "tout le monde", comme il fait grief à l'expert de l'avoir estimé.</w:t>
      </w:r>
    </w:p>
    <w:p>
      <w:r>
        <w:rPr>
          <w:b/>
        </w:rPr>
        <w:t>E. 11</w:t>
      </w:r>
    </w:p>
    <w:p>
      <w:r>
        <w:t>Il convient avant tout d'examiner la valeur probante du rapport de l'expert H______. ![endif]&gt;![if&gt; Au plan formel, la Cour de céans constate que ce document remplit les réquisits jurisprudentiels, dans la mesure où il se fonde sur une anamnèse détaillée, un examen clinique du recourant et tient compte des plaintes rapportées par ce dernier. Il a été établi en pleine connaissance du dossier et ses conclusions, dûment motivées, ne laissent pas apparaître de contradiction. Quant aux conclusions de l'expert, il convient de s'y rallier en tant qu'il nie toute incapacité de travail en lien avec le diagnostic de TDA-H. En effet, ainsi que le fait remarquer l'expert, les troubles cognitifs mis en évidence doivent être considérés comme légers, ce que confirment tant Mme G______, dans son bilan d'examen neuropsychologique, que le Prof. E______ lui-même, dans son rapport du 28 octobre 2019, puisqu'il parlait de "léger déficit au niveau de l'attention soutenue" et d'une "légère impulsivité". Certes, selon Mme G______, de ces troubles légers découlent des limitations fonctionnelles (une diminution significative des capacités d’adaptation et d’autonomie de l’assuré dans les situations complexes, de sorte qu’il lui faut éviter les fortes contraintes temporelles, les situations de doubles tâches ou de multiples tâches successives, les interférences, les situations de stress, les activités sollicitant ses capacités d’organisation, de prises d’initiatives et d’autocontrôles, et privilégier les activités routinières et les horaires flexibles). Néanmoins, la neuropsychologue considère qu'une reprise d'activité dans le champ d'expérience de l'assuré paraît réaliste. Il est vrai qu'elle évalue cette capacité de travail à 50%, pour, explique-t-elle, pallier les difficultés cognitives retenues et éviter une nouvelle décompensation psychique. Dans le même temps, la neuropsychologue énumère toutefois les nombreuses ressources de l'intéressé : un langage oral et écrit fonctionnel, une aptitude à assumer des tâches sollicitant les aptitudes visuo-constructives et visuo-perceptives (lectures et dessins de plans / schémas simples), de bonnes ressources intellectuelles et de capacité d’analyses et d’introspection démontrées par le parcours de l’assuré et les observations cliniques. L'argumentation de l'expert psychiatre qui s'écarte de l'évaluation réduite à 50% de la capacité de travail de l'assuré par Mme G______ et le Prof. E______ apparaît dès lors convaincante. Ainsi qu'il le relève, l'assuré peut suivre une conversation, se concentrer sur de nombreuses activités intellectuelles, il n'y a pas d’oublis majeurs, ni de labilité émotionnelle. La résistance au stress est possible. Il n’y a pas d’impulsivité marquée, se traduisant par exemple par des achats ou des investissements financiers non réfléchis ou une conduite dangereuse. L’expert relève que l’assuré n’a pas changé fréquemment d’emploi, qu’il n’est pas souvent en colère, n’a pas d’antécédent d’abus de substances et en tire la conclusion que les critères de gravité requis ne sont pas remplis. Les ressources sont bien disponibles chez un assuré qui ne souffre d'aucun trouble de la personnalité. L'expert note que l’assuré a su s’adapter à certaines règles et routines de son activité professionnelle comme en témoignent les éléments objectifs ressortant de son certificat de travail du 20 octobre 2011. L’assuré n’a pas dû s’acquitter de certaines tâches d’administration, mais a été tout à fait apte à gérer les commandes, la gestion des graines, réaliser un index de graines et avoir un bon contact avec la clientèle. Rien n’indique que l’assuré ne serait pas capable de s’adapter aux règles et aux routines de sa profession. La flexibilité et les capacités d’adaptation sont peut-être légèrement limitées, mais l’assuré n’a pas de raison d’envisager un changement d’activité. Il dispose de nombreuses compétences professionnelles, ainsi que l'a d'ailleurs démontré le bilan du CEBIG effectué dans le cadre de la première demande de prestations. Sa capacité de jugement n’est pas altérée. L’endurance est relative à son âge, mais en tout cas pas diminuée dans son activité habituelle. Il n’a pas de problème relationnel avec des tiers, gère ses besoins personnels et ses déplacements. En définitive, ces éléments ont conduit l'expert à nier l'existence de troubles psychiques incapacitants et, par voie de conséquence, d'une incapacité de travail significative dans l’activité habituelle, étant rappelé qu'il n'y a pas eu de décompensation dépressive depuis 2007 – ce qui n'est pas contesté. Le Prof. E______, longuement entendu en audience, a d'ailleurs fini par en convenir, admettant que, dans un milieu structuré, stable, offrant des horaires réguliers et ne requérant que des tâches spécifiques et relativement simples, son patient pourrait travailler à 50% et, relativement vite, augmenter ce taux à 80%, voire 100%. Force est de constater que les conditions d'une telle capacité de travail évoquées par le professeur (un cadre de vie stable et une certaine sérénité administrative et financière que pourrait lui procurer une mise sous curatelle de gestion) ne relèvent pas de l'assurance-invalidité. Le témoin en a d'ailleurs convenu en précisant que, si l'on excluait tous les éléments extra-médicaux (dettes et pression administrative), son patient était capable de travailler à 100% dans un poste adapté. Le médecin-traitant est d'ailleurs parvenu à des conclusions similaires en reconnaissant à l'assuré une capacité de 100% dans un poste adapté décrit comme consistant en travaux de jardinage légers, de préférence pas en tant qu'indépendant. Au vu de ces éléments, même si, comme l'affirme le Prof. E______, le TDA-H a commencé à entraver de façon notable son patient dans son activité de référence « depuis le début de l’âge adulte », force est de constater que cela ne l'a pourtant pas empêché d'exercer des années durant – près de dix ans - une activité appréciée d'horticulteur pour le B______ du jardin botanique, dans laquelle le recourant a souligné s'être montré très performant et avoir rempli ses objectifs, rappelant que si cela s'était mal terminé, c'était en raison d'un mobbing, sans lien avec ses difficultés. L'intéressé a également convenu que, depuis son suivi aux HUG, sa situation s'était bien améliorée (cf. courrier du 15 mars 2021). Dès lors, si les conclusions de l'expert estimant que le recourant ne rencontre aucune limitation dans ses tâches habituelles et la tenue de son ménage paraissent, elles, peu crédibles au vu des faits relatés par le professeur et de la nécessité d'une demande de mise sous curatelle de gestion, il apparaît en revanche que, dans un poste adapté de salarié tel que celui qu'il a occupé plusieurs années jusqu'à son licenciement, le recourant a conservé une pleine capacité de travail. Dans ces conditions, c'est à juste titre que l'intimé a conclu à l'absence d'incapacité de travail et, par conséquent, de perte de gain et nié le droit à une rente d'invalidité.</w:t>
      </w:r>
    </w:p>
    <w:p>
      <w:r>
        <w:rPr>
          <w:b/>
        </w:rPr>
        <w:t>E. 12</w:t>
      </w:r>
    </w:p>
    <w:p>
      <w:r>
        <w:t>Au vu de ce qui précède, le recours est rejeté et le recourant condamné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