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A/958/2020 vom 30. April 2020</w:t>
      </w:r>
    </w:p>
    <w:p>
      <w:r>
        <w:t>GE Cour de justice, 2020-04-30, FR</w:t>
      </w:r>
    </w:p>
    <w:p>
      <w:r>
        <w:rPr>
          <w:b/>
        </w:rPr>
        <w:t xml:space="preserve">Quelle: </w:t>
      </w:r>
      <w:r>
        <w:t>https://mcp.opencaselaw.ch/entscheid/ge_gerichte_A_958_2020</w:t>
      </w:r>
    </w:p>
    <w:p>
      <w:r>
        <w:t>FR: GE_GERICHTE A/958/2020 du 30 avril 2020</w:t>
      </w:r>
    </w:p>
    <w:p>
      <w:r>
        <w:t>IT: GE_GERICHTE A/958/2020 del 30 aprile 2020</w:t>
      </w:r>
    </w:p>
    <w:p>
      <w:pPr>
        <w:pStyle w:val="Heading2"/>
      </w:pPr>
      <w:r>
        <w:t>Regeste</w:t>
      </w:r>
    </w:p>
    <w:p>
      <w:r>
        <w:t>INTERDICTION DE PÉNÉTRER DANS UNE ZONE;POLICE ET ORDRE PUBLIC;INTERDICTION DE L'ARBITRAIRE;EXCÈS ET ABUS DU POUVOIR D'APPRÉCIATION | Recours contre une décision d’interdiction de pénétrer dans un périmètre donné comprenant des entrées d’immeubles. Dans la mesure où le recourant n’a jamais été appréhendé dans le secteur en question et que les faits qui lui sont reprochés n’ont aucun rapport avec des dommages à la propriété à l’origine de la décision litigieuse le recours est admis. | Cst.9; LPA.60.al1.letb; LPA.61.al1.leta; LPol.45; LPol.53.al1; LPol.54; ROPol.15; ROPol.16</w:t>
      </w:r>
    </w:p>
    <w:p>
      <w:pPr>
        <w:pStyle w:val="Heading2"/>
      </w:pPr>
      <w:r>
        <w:t>Erwägungen</w:t>
      </w:r>
    </w:p>
    <w:p>
      <w:r>
        <w:rPr>
          <w:b/>
        </w:rPr>
        <w:t>E. 3</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rPr>
          <w:b/>
        </w:rPr>
        <w:t>E. 4</w:t>
      </w:r>
    </w:p>
    <w:p>
      <w:r>
        <w:t>a. À teneur de l'art. 45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 Ainsi, selon l'art. 53 al. 1 LPol, la police peut éloigner une personne d'un lieu ou d'un périmètre déterminé et lui en interdire l'accès, si, notamment, elle-même ou un rassemblement de personnes auquel elle participe menace l'ordre ou la sécurité publics (let. a) ou elle participe à des transactions portant sur des biens dont le commerce est prohibé, notamment des stupéfiants (let. d). Le type et la durée de la mesure d'éloignement dépendent de la gravité et de l'intensité du trouble qui la justifie (art. 15 du règlement sur l'organisation de la police du 16 mars 2016 - ROPol - F 1 05.01). Les policiers sont habilités à prononcer une mesure d'éloignement pour une durée maximale de vingt-quatre heures. En pareil cas, le commissaire de police de permanence est immédiatement informé (art. 16 al. 1 ROPol). Les commissaires de police sont habilités à prononcer une mesure d'éloignement pour une durée excédant vingt-quatre heures. En pareil cas, la personne qui fait l'objet de la mesure d'éloignement peut être conduite dans des locaux de police pour que la décision écrite afférente lui soit notifiée (art. 16 al. 2 ROPol). b. Les travaux préparatoires législatifs portant sur le projet de loi 11'228 (ci-après : PL 11'228) ayant modifié l'ancienne loi sur la police du 26 octobre 1957 (aLPol) renvoient aux art. 22A et 22B de cette dernière, dans la mesure où le contenu en est repris aux art. 53 et 54 LPol (MGC 2012-2013 X A 11940). Les travaux préparatoires législatifs concernant les art. 22A et 22B aLPol, en particulier le PL 10'121 ayant pour objectif de « renforcer les libertés et restaurer la sécurité publique », soulignent que « l'État doit assurer à chacun le droit de se sentir en sécurité sur son territoire. Pour ce faire, il y a lieu d'éloigner ceux des importuns qui en empêchent l'exercice en prononçant à leur encontre des mesures d'éloignement. Parallèlement, lorsqu'il y a matière à amende, par exemple parce que le comportement qui donne lieu à la mesure d'éloignement mérite également une telle mesure, il faut faire en sorte que l'effet de celle-ci puisse se faire ressentir concrètement sur la personne à l'encontre de laquelle elle est prononcée » (MGC 2006-2007/XII A 11493 ; MGC 2006-2007/XII A 11494). Inspirés par d'autres législations cantonales en la matière, les auteurs du PL 10'121 ont limité la durée maximum de la mesure d'éloignement à trois mois, le Tribunal fédéral ayant considéré qu'une telle durée était compatible avec le droit constitutionnel, notamment l'intérêt public et la proportionnalité (MGC 2006 2007/XII A 11496 ; ATF 132 I 49 ). Appelé à examiner la constitutionnalité des art. 22A let. b et 22B al. 1 aLPol, le Tribunal fédéral a notamment retenu que ceux-ci, sous réserve des termes « ou empêche sans motif l'usage normal du domaine public », étaient conformes aux dispositions du droit supérieur invoquées. Dans ce contexte, il a en particulier rappelé qu'en tant que « droit constitutionnel garanti par l'art. 10 al. 1 de la Constitution fédérale de la Confédération suisse du 18 avril 1999 (Cst. RS 101),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En particulier, la liberté des citoyens de circuler à leur gré dans le pays sans autorisation préalable et sans entraves autres que celles nécessitées impérativement par l'ordre public et la sécurité de tous est sans doute l'élément qui caractérise le mieux l'État de droit par rapport à l'État policier. La liberté personnelle se conçoit comme une garantie générale et subsidiaire à laquelle le citoyen peut se référer pour la protection de sa personnalité ou de sa dignité, en l'absence d'un droit fondamental plus spécifique. À l'instar des autres droits individuels, elle ne saurait être complètement supprimée ou vidée de son contenu par les restrictions légales qui peuvent lui être apportées dans l'intérêt public » (arrêt du Tribunal fédéral 1C_226/2009 du 16 décembre 2009 consid. 3.2). c.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d. 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manoeuvre laissée par ces principes sont « opportuns » ou non (Thierry TANQUEREL, Manuel de droit administratif, 2ème éd., 2018, p. 183 n. 524 ; Benoît BOVAY, Procédure administrative, 2015, p. 569).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w:t>
      </w:r>
    </w:p>
    <w:p>
      <w:r>
        <w:rPr>
          <w:b/>
        </w:rPr>
        <w:t>E. 5</w:t>
      </w:r>
    </w:p>
    <w:p>
      <w:r>
        <w:t>a. En l'espèce, l'intimé soutient que sa décision est justifiée dans la mesure où le recourant a été contrôlé à de nombreuses reprises puis appréhendé le 19 février 2020 dans les allées où il n'y habite pas et dans lesquelles la police a recensé « de nombreux dégâts » depuis de nombreuses semaines ; il se fonde également sur le dossier de police dont il ressort que le recourant avait « pour habitude de commettre des infractions pénales et non des moindres ». b. Les éléments ressortant du dossier ne permettent toutefois pas de corroborer les affirmations de l'intimé. Certes, entre le mois d'août 2018 et le mois de février 2020, l'intéressé a été interpellé à deux reprises, étant précisé que sa troisième interpellation a eu lieu postérieurement à la décision litigieuse et ne sera donc pas prise en considération. Toutefois, il apparaît que le recourant n'a jamais été appréhendé dans le secteur faisant objet de la décision d'interdiction. Les faits qui lui étaient reprochés, dont on ne sait pas s'ils ont fait l'objet d'une condamnation pénale, n'ont aucun rapport avec des dommages à la propriété qui sont, semblent-ils, à l'origine de la décision litigieuse, même si cette dernière n'est pas précise à ce sujet. Enfin, il n'apparaît pas que, le 19 février 2020, le recourant ait eu un comportement particulier laissant penser qu'il allait commettre une infraction, la décision faisant uniquement état de sa présence sur les lieux. Ainsi le cas présent est différent de celui jugé par la chambre administrative ( ATA/1278/2019 du 27 août 2019), dans lequel le recourant avait été interpellé cinq fois dans des lieux connus pour être liés au trafic de stupéfiants et dans le cadre d'opérations de police visant à lutter contre le trafic de stupéfiants, à chaque fois, en possession de plusieurs téléphones portables et de sommes d'argent dont il ne pouvait établir la provenance, faute de bénéficier d'une source de revenus. Compte tenu des éléments précités, le commissaire de police n'était pas fondé à notifier à l'intéressé une mesure d'interdiction de pénétrer fondée sur un trouble à l'ordre public et le fait d'« importuner sérieusement des tiers », dont il n'est au demeurant pas précisé de qui il pourrait d'agir. Au vu des éléments qui précèdent, le recours sera admis et l'interdiction de pénétrer dans une zone déterminée prononcée par le commissaire de police le 19 février 2020 annulée.</w:t>
      </w:r>
    </w:p>
    <w:p>
      <w:r>
        <w:rPr>
          <w:b/>
        </w:rPr>
        <w:t>E. 6</w:t>
      </w:r>
    </w:p>
    <w:p>
      <w:r>
        <w:t>Aucun émolument ne sera perçu et une indemnité de procédure de CHF 800.- sera allouée au recourant, qui obtient gain de cause, à la charge de l'État de Genève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