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A/956/2012 vom 28. Mai 2013</w:t>
      </w:r>
    </w:p>
    <w:p>
      <w:r>
        <w:t>GE Cour de justice, 2013-05-28, FR</w:t>
      </w:r>
    </w:p>
    <w:p>
      <w:r>
        <w:rPr>
          <w:b/>
        </w:rPr>
        <w:t xml:space="preserve">Quelle: </w:t>
      </w:r>
      <w:r>
        <w:t>https://mcp.opencaselaw.ch/entscheid/ge_gerichte_A_956_2012</w:t>
      </w:r>
    </w:p>
    <w:p>
      <w:r>
        <w:t>FR: GE_GERICHTE A/956/2012 du 28 mai 2013</w:t>
      </w:r>
    </w:p>
    <w:p>
      <w:r>
        <w:t>IT: GE_GERICHTE A/956/2012 del 28 maggio 2013</w:t>
      </w:r>
    </w:p>
    <w:p>
      <w:pPr>
        <w:pStyle w:val="Heading2"/>
      </w:pPr>
      <w:r>
        <w:t>Regeste</w:t>
      </w:r>
    </w:p>
    <w:p>
      <w:r>
        <w:t>; DÉFAUT D'ENTRETIEN ; LOGEMENT ; AUTORISATION OU APPROBATION(EN GÉNÉRAL) ; RÉNOVATION D'IMMEUBLE ; MAJORATION DE LOYER ; TRAVAUX D'ENTRETIEN(CONSTRUCTION) | Les travaux de remise en état de deux logements de cinq pièces pour des montants respectifs de CHF 76'000.- et de CHF 47'897.- sont soumis à autorisation selon la loi sur les démolitions, transformations et rénovations de maisons d'habitation, de par leur nature et en raison de la hausse du loyer qui en a résulté. Lesdits travaux ne peuvent être qualifiés de simples travaux d'entretien mais au contraire de travaux de rénovation ou de transformation. | RGL.1 ; LDTR.3 ; LDTR.9</w:t>
      </w:r>
    </w:p>
    <w:p>
      <w:pPr>
        <w:pStyle w:val="Heading2"/>
      </w:pPr>
      <w:r>
        <w:t>Erwägungen</w:t>
      </w:r>
    </w:p>
    <w:p>
      <w:r>
        <w:rPr>
          <w:b/>
        </w:rPr>
        <w:t>E. 2</w:t>
      </w:r>
    </w:p>
    <w:p>
      <w:r>
        <w:t>, ce qui signifie qu’ils comptent pour deux pièces. Avec les trois chambres, les logements comportent cinq pièces comme l’a retenu le département. C’est d’ailleurs ce qui résulte des différents baux à loyers portant sur les deux appartements. 3) 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LDTR).![endif]&gt;![if&gt; 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transformations (ATF 116 Ia 401 consid. 9 p. 414 ; Arrêt du Tribunal fédéral 1C_617/2012 du 3 mai 2013 consid. 2.3). b. Selon l’art. 3 al. 1 let. d et al.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in RDAF 1998 p. 368). 4) De jurisprudence constante il est admis, s’agissant de la distinction entre travaux d’entretien et de rénovation (ou transformation) consacrée à l’art. 3 LDTR, de tenir un raisonnement en deux temps, à savoir :![endif]&gt;![if&gt;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ATA/645/2012 précité ; ATA/135/2011 du 1 er mars 2011 et la jurisprudence citée ; A. MAUNOIR, La nouvelle LDTR au regard de la jurisprudence in RDAF 1996 p. 314 et la jurisprudence citée), - puis s’attacher ensuite à l’ampleur et, partant, au coût desdits travaux et à leur répercussion sur le montant du loyer dès lors qu’il pourrait en résulter un changement d’affectation qualitatif des logements, au risque que le loyer de ces derniers soit ne réponde plus aux besoins prépondérants de la population ( ATA/645/2012 précité ; ATA/646/2010 du 21 septembre 2010 et les références citées), soit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 5) Ont été considérés comme relevant de l’entretien au regard de leur nature l’installation de nouveaux sanitaires, l’agencement des cuisines, la mise en conformité de l’installation électrique, la pose de nouveaux revêtements des sols et des parois, ainsi que les travaux de peinture et de serrurerie ( ATA/40/2010 du 26 janvier 2010 et les références citées).![endif]&gt;![if&gt; 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deux pièces et demie comme étant des travaux de rénovation soumis à autorisation ( ATA/645/2012 précité). Il convient toutefois de tenir compte également des circonstances dans lesquelles les travaux sont accomplis, et notamment de leur accumulation en raison d’un défaut d’entretien courant des bâtiments concernés ( ATA/646/2010 précité et les références citées). 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28’519.- pour un deux pièces et demie ( ATA/645/2012 précité), de CHF 28’342.- pour un trois pièces ( ATA/646/2010 précité), de CHF 38’213.- pour un trois pièces et demie ( ATA/571/2010 du 31 août 2010 ; ATA/215/2008 du 6 mai 2008 ; ATA/278/2006 du 16 mai 2006). 6) A teneur de l’art. 44 al. 1 LDTR, celui qui contrevient aux dispositions de la LDTR est passible des mesures et des sanctions administratives prévues par les articles 129 à 139 LCI, et des peines plus élevées prévues par le code pénal.![endif]&gt;![if&gt; Selon l’art. 129 let. e LCI, le département peut ordonner, à l’égard des constructions, des installations ou d’autres choses la remise en état, la réparation, la modification, la suppression ou la démolition. 7) En l’espèce et après examen de l’ensemble des pièces figurant au dossier, les travaux entrepris dans les deux appartements en cause ne peuvent être considérés, en raison de leur ampleur, comme relevant d’un entretien courant de la chose louée au sens de l’art. 3 al. 2 LDTR, soit des travaux ayant pour objectif le maintien en état de celle-ci, mais doivent être qualifiés de travaux de transformation ayant amélioré le confort existant. ![endif]&gt;![if&gt; Ces travaux avaient pour but de remettre en état les appartements à l’occasion des changements de locataires par la réfection complète des sols, des murs, des plafonds, par le ponçage et la vitrification des parquets, la réfection des agencements de cuisine et de salle de bains, la douche et le WC du ______, chemin B______ et par la mise en conformité des installations électriques, et doivent donc être assimilés à des travaux de rénovation soumis à autorisation, en vertu de l’art. 3 al. 1 LDTR. Les nombreuses factures figurant au dossier corroborent cette remise à neuf. La vétusté des différents agencements ne suffit pas, à elle seule à justifier, la remise en état des deux appartements. De plus, il ressort de l’analyse des diverses interventions précédant les travaux de 2009 et 2011 que celles-ci étaient ponctuelles, espacées dans le temps, et sans commune mesure avec celles de 2009 et 2011 relatives aux travaux de rénovation. Le TAPI a donc constaté de manière exacte les faits sans abuser de son pouvoir d’appréciation. Le TAPI a par ailleurs procédé au raisonnement en deux temps imposé par la jurisprudence. Ces travaux doivent également être qualifiés d’importants sous l’angle de leur coût. Revenant à CHF 9’579.- par pièce l’an (CHF 47’897.- : 5) pour l’appartement du _______ chemin B______ et à CHF 15’200.-.- par pièce l’an (CHF 76’000.- : 5) pour l’appartement du ______, chemin B______, ils ne permettent pas de maintenir des loyers répondant aux besoins prépondérants de la population. De fait, ces derniers s’élevaient avant travaux à CHF 7’200.- (CHF 36’000.- : 5) la pièce/l’an s’agissant du ______, chemin B______ et à CHF 6’960.- la pièce/l’an (CHF 34’800.- : 5) s’agissant du ______, chemin B______, et dépassaient déjà le montant maximal du loyer correspondant aux besoins prépondérants de la population, arrêté à CHF 3’363.- la pièce l’an par l’Arrêté du conseil d’Etat du 21 juin 2006 précité, encore en vigueur à l’époque où les travaux ont été entrepris. L’arrêt cité par les copropriétaires ( ATA/238/2006 précité) à l’appui de leur recours ne saurait modifier cette conclusion dans la mesure où dans cette procédure là les recourants ont eu gain de cause sur la question de la qualification des travaux, qui avaient été, de par leur nature, qualifiés de travaux d’entretien, de sorte que la présente cause est différente et que le grief tiré de l’égalité de traitement doit être également rejeté. 8) Les travaux effectués dans les deux appartements ayant été entrepris illégalement, le département devait ordonner la mise en conformité de ceux-ci, en application de l’art. 129 let. e LCI, par renvoi de l’art. 44 al. 1 LDTR, et ordonner aux copropriétaires de déposer une demande d’autorisation, comme ils auraient dû le faire avant d’entreprendre les travaux. Ladite mesure respecte le principe de proportionnalité eu égard aux manquements des copropriétaires. Le fait que les loyers aient été abaissés par la suite, lors de l’entrée de nouveaux locataires en été 2012, ne modifie en rien cette conclusion.![endif]&gt;![if&gt; 9) En tous points mal fondé, le recours sera rejeté. Un émolument de CHF 1’500.- sera mis à la charge de M. P______ et de Mme D______P______, pris conjointement et solidairement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