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A/952/2007 vom 12. Februar 2007</w:t>
      </w:r>
    </w:p>
    <w:p>
      <w:r>
        <w:t>GE Cour de justice, 2007-02-12, FR</w:t>
      </w:r>
    </w:p>
    <w:p>
      <w:r>
        <w:rPr>
          <w:b/>
        </w:rPr>
        <w:t xml:space="preserve">Quelle: </w:t>
      </w:r>
      <w:r>
        <w:t>https://mcp.opencaselaw.ch/entscheid/ge_gerichte_A_952_2007</w:t>
      </w:r>
    </w:p>
    <w:p>
      <w:r>
        <w:t>FR: GE_GERICHTE A/952/2007 du 12 février 2007</w:t>
      </w:r>
    </w:p>
    <w:p>
      <w:r>
        <w:t>IT: GE_GERICHTE A/952/2007 del 12 febbraio 2007</w:t>
      </w:r>
    </w:p>
    <w:p>
      <w:pPr>
        <w:pStyle w:val="Heading2"/>
      </w:pPr>
      <w:r>
        <w:t>Erwägungen</w:t>
      </w:r>
    </w:p>
    <w:p>
      <w:r>
        <w:rPr>
          <w:b/>
        </w:rPr>
        <w:t>E. 1</w:t>
      </w:r>
    </w:p>
    <w:p>
      <w:r>
        <w:t>Monsieur R______, domicilié à Meyrin, est titulaire d’un permis de conduire suisse depuis plusieurs années.</w:t>
      </w:r>
    </w:p>
    <w:p>
      <w:r>
        <w:rPr>
          <w:b/>
        </w:rPr>
        <w:t>E. 2</w:t>
      </w:r>
    </w:p>
    <w:p>
      <w:r>
        <w:t>Le 17 juillet 2006 à 09h52, il circulait en voiture sur la route de Veyrier en direction de cette localité lorsqu’il a fait l’objet d’un contrôle de vitesse. Il roulait à 101 km/h alors que la vitesse prescrite était de 60 km/h. Après déduction de la marge de sécurité, le dépassement effectif est ainsi de 35 km/h. La contravention est devenue définitive le 11 janvier 2007.</w:t>
      </w:r>
    </w:p>
    <w:p>
      <w:r>
        <w:rPr>
          <w:b/>
        </w:rPr>
        <w:t>E. 3</w:t>
      </w:r>
    </w:p>
    <w:p>
      <w:r>
        <w:t>M. R______ a présenté des observations le 25 janvier 2007 en faisant valoir qu’il travaillait chez X______ et utilisait son véhicule tous les jours pour se rendre d’un site à l’autre de l’entreprise. Le jour en question, il devait prendre part à une séance mais il était en retard. Il n’y avait pas "un chat" sur la route ce qui l’avait incité à rouler plus vite. Depuis, il avait reçu une amende "salée" qui lui avait servi de leçon, d’autant plus qu’il avait besoin de son véhicule pour travailler.</w:t>
      </w:r>
    </w:p>
    <w:p>
      <w:r>
        <w:rPr>
          <w:b/>
        </w:rPr>
        <w:t>E. 4</w:t>
      </w:r>
    </w:p>
    <w:p>
      <w:r>
        <w:t>Par décision du 12 février 2007, le service des automobiles et de la navigation (ci-après  : SAN) a prononcé un retrait de permis d’une durée de trois mois correspondant au minimum légal, considérant qu’il s’agissait d’une infraction grave aux règles de la circulation routière selon l’article 16c alinéa 1 lettre a de la loi fédérale sur la circulation routière du 12 décembre 1958 (LCR - RS 741.01).</w:t>
      </w:r>
    </w:p>
    <w:p>
      <w:r>
        <w:rPr>
          <w:b/>
        </w:rPr>
        <w:t>E. 5</w:t>
      </w:r>
    </w:p>
    <w:p>
      <w:r>
        <w:t>Par acte posté le 10 mars 2007, M. R______ a recouru contre cette décision auprès du Tribunal administratif. L’excès de vitesse qui lui était reproché n’était pas visé par l’article 16c LCR. Il contestait avoir mis en danger la sécurité de la route ou celle d’autres usagers. De plus, l’ordonnance sur la circulation routière mentionnait que dans les zones hors localité, la limitation de vitesse était fixée à 80 km/h. L’excès de vitesse qu’il avait commis ne devait être que de 15 km/h et non de 35 km/h. Enfin, il soulignait qu’il n’avait aucun antécédent, que cette décision pour une première infraction était extrêmement sévère et qu’il avait pris conscience de la faute commise. Il joignait l’amende de CHF 650.- qu’il avait reçue à laquelle s’ajoutait un émolument de CHF 60.- dont il s’était acquitté.</w:t>
      </w:r>
    </w:p>
    <w:p>
      <w:r>
        <w:rPr>
          <w:b/>
        </w:rPr>
        <w:t>E. 6</w:t>
      </w:r>
    </w:p>
    <w:p>
      <w:r>
        <w:t>Les parties ont été entendues lors d’une audience de comparution personnelle le 20 avril 2007. Elles ont persisté dans leurs explications. a. Le recourant faisant valoir qu’il avait besoin de son permis de conduire pour se rendre d’un site à l’autre de X______ à Genève mais également à Bienne et au Locle. b. Le représentante du SAN a persisté dans la décision attaquée, conforme au minimum légal.</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impliquant en règle générale un retrait de permis au sens de l'article 16b alinéa 2 lettres a à f  LCR ;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30 km/h et plus entraîne en principe un retrait obligatoire du permis de conduire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à f  LCR ; art. 90 ch. 2 LCR ; ATF 123 II 106 , JdT 1997 I 725, consid. 2c, p. 731 et réf. cit. ; ATF 123 II 37 , consid. 1d, pp. 40-41, SJ 1997 pp. 527-528 ; ATA/735/2005 du 1er novembre 2005).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3. Conformément à l’article 4a alinéa 5 de l’ordonnance sur les règles de la circulation routière du 13 novembre 1962 - OCR - RS 741.11), "lorsque des signaux indiquent d’autres vitesses maximales, celles-ci sont applicables en lieu et place des limitations générales de vitesse". En l’espèce, la vitesse était ainsi limitée à 60 km/h et non pas 80 km/h. Il en résulte que l’excès de vitesse est de 35 km/h. 4. Pour les raisons susexposées, un tel excès de vitesse constitue une infraction grave au sens de l’article 16c alinéa 1 lettre a LCR puisqu’en roulant ainsi, le recourant a pris le risque de mettre en danger la sécurité d’autrui. Une mise en danger abstraite est suffisante ( ATA/256/2006 du 9 mai 2006). Seules des circonstances très particulières peuvent conduire à considérer que la condition d’un danger abstrait et sérieux n’est pas satisfaite ( ATA/720/2005 du 25 octobre 2005) mais de telles circonstances ne sont pas réalisées en l’espèce. 5. Quels que soient les besoins professionnels allégués par le recourant, ceux-ci ne peuvent permettre de fixer une mesure inférieure au minimum légal de sorte que lesdits besoins n’ont pas à être examinés (ATF 132 II 234 , consid. 2.3 p. 237 concernant un chauffeur de taxi). 6. En tous points mal fondé, le recours sera rejeté. Un émolument de CHF 400.-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