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A/949/2023 vom 28. Februar 2024</w:t>
      </w:r>
    </w:p>
    <w:p>
      <w:r>
        <w:t>GE Cour de justice, 2024-02-28, FR</w:t>
      </w:r>
    </w:p>
    <w:p>
      <w:r>
        <w:rPr>
          <w:b/>
        </w:rPr>
        <w:t xml:space="preserve">Quelle: </w:t>
      </w:r>
      <w:r>
        <w:t>https://mcp.opencaselaw.ch/entscheid/ge_gerichte_A_949_2023</w:t>
      </w:r>
    </w:p>
    <w:p>
      <w:r>
        <w:t>FR: GE_GERICHTE A/949/2023 du 28 février 2024</w:t>
      </w:r>
    </w:p>
    <w:p>
      <w:r>
        <w:t>IT: GE_GERICHTE A/949/2023 del 28 febbraio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Le délai de recours est de trente jours (art. 56 LPGA; art. 62 al. 1 de la de loi sur la procédure administrative du 12 septembre 1985 [LPA - E 5 10]). ![endif]&gt;![if&gt; Interjeté dans la forme et le délai prévus par la loi, le recours est recevable.</w:t>
      </w:r>
    </w:p>
    <w:p>
      <w:r>
        <w:rPr>
          <w:b/>
        </w:rPr>
        <w:t>E. 3</w:t>
      </w:r>
    </w:p>
    <w:p>
      <w:r>
        <w:t>![endif]&gt;![if&gt;</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vigueur.![endif]&gt;![if&gt;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 tant que leur taux d’invalidité ne subit pas de modification au sens de l’art. 17 al. 1 LPGA (cf. arrêt du Tribunal fédéral 9C _499/2022 du 29 juin 2023 consid. 4.1).</w:t>
      </w:r>
    </w:p>
    <w:p>
      <w:r>
        <w:rPr>
          <w:b/>
        </w:rPr>
        <w:t>E. 3.2</w:t>
      </w:r>
    </w:p>
    <w:p>
      <w:r>
        <w:t>En l’occurrence, la décision querellée a certes été rendue postérieurement au 1 er janvier 2022, mais le litige porte sur une rente d’invalidité, dont il n’est pas contesté que le droit, s’il était reconnu, serait né antérieurement. Ce sont donc les dispositions légales dans leur teneur en vigueur jusqu’au 31 décembre 2021 qui sont applicables. ![endif]&gt;![if&gt;</w:t>
      </w:r>
    </w:p>
    <w:p>
      <w:r>
        <w:rPr>
          <w:b/>
        </w:rPr>
        <w:t>E. 4</w:t>
      </w:r>
    </w:p>
    <w:p>
      <w:r>
        <w:t>Le litige porte sur le droit du recourant à une rente d’invalidité.![endif]&gt;![if&gt;</w:t>
      </w:r>
    </w:p>
    <w:p>
      <w:r>
        <w:rPr>
          <w:b/>
        </w:rPr>
        <w:t>E. 5</w:t>
      </w:r>
    </w:p>
    <w:p>
      <w:r>
        <w:t>![endif]&gt;![if&gt;</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5.2</w:t>
      </w:r>
    </w:p>
    <w:p>
      <w:r>
        <w:t>![endif]&gt;![if&gt;</w:t>
      </w:r>
    </w:p>
    <w:p>
      <w:r>
        <w:rPr>
          <w:b/>
        </w:rPr>
        <w:t>E. 5.2.1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![endif]&gt;![if&gt;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w:t>
      </w:r>
    </w:p>
    <w:p>
      <w:r>
        <w:rPr>
          <w:b/>
        </w:rPr>
        <w:t>E. 5.2.2</w:t>
      </w:r>
    </w:p>
    <w:p>
      <w:r>
        <w:t>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8.1).![endif]&gt;![if&gt;</w:t>
      </w:r>
    </w:p>
    <w:p>
      <w:r>
        <w:rPr>
          <w:b/>
        </w:rPr>
        <w:t>E. 5.2.3</w:t>
      </w:r>
    </w:p>
    <w:p>
      <w:r>
        <w:t>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développés par le Tribunal fédéral suivants :![endif]&gt;![if&gt;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rPr>
          <w:b/>
        </w:rPr>
        <w:t>E. 5.2.4</w:t>
      </w:r>
    </w:p>
    <w:p>
      <w:r>
        <w:t>Le juge vérifie librement si l’expert médical a exclusivement tenu compte des déficits fonctionnels résultant de l’atteinte à la santé et si son évaluation de l’exigibilité repose sur une base objective.![endif]&gt;![if&gt;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5.3</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w:t>
      </w:r>
    </w:p>
    <w:p>
      <w:r>
        <w:rPr>
          <w:b/>
        </w:rPr>
        <w:t>E. 5.4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5.5</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![endif]&gt;![if&gt;</w:t>
      </w:r>
    </w:p>
    <w:p>
      <w:r>
        <w:rPr>
          <w:b/>
        </w:rPr>
        <w:t>E. 6</w:t>
      </w:r>
    </w:p>
    <w:p>
      <w:r>
        <w:t>Il convient d’examiner en premier lieu la valeur probante de l’expertise du J______ du 14 décembre 2022, dont la valeur probante est contestée par le recourant.![endif]&gt;![if&gt;</w:t>
      </w:r>
    </w:p>
    <w:p>
      <w:r>
        <w:rPr>
          <w:b/>
        </w:rPr>
        <w:t>E. 6.1</w:t>
      </w:r>
    </w:p>
    <w:p>
      <w:r>
        <w:t>![endif]&gt;![if&gt;</w:t>
      </w:r>
    </w:p>
    <w:p>
      <w:r>
        <w:rPr>
          <w:b/>
        </w:rPr>
        <w:t>E. 6.1.1</w:t>
      </w:r>
    </w:p>
    <w:p>
      <w:r>
        <w:t>Celui-ci a fait valoir que l’intimé avait pris en compte par erreur l’année 2013 comme début de son incapacité de travail. Celle-ci n’avait commencé que le 1er janvier 2020, suite à sa démission, à la fin de l’année 2019, au motif que son maintien en poste n’était plus possible physiquement. ![endif]&gt;![if&gt;</w:t>
      </w:r>
    </w:p>
    <w:p>
      <w:r>
        <w:rPr>
          <w:b/>
        </w:rPr>
        <w:t>E. 6.1.2</w:t>
      </w:r>
    </w:p>
    <w:p>
      <w:r>
        <w:t>Il ressort ainsi clairement de l’expertise que l’atteinte à la santé durable a débuté en 2012-2013 et que le diagnostic d’intestin irritable a été retenu en 2013. Selon les experts, la capacité de travail était depuis lors de 100% avec une diminution de rendement durable de 10% de 2013. Contrairement au recourant, les experts n’ont pas considéré que celui-ci était totalement incapable de travailler dès le 1 er janvier 2020, au moment où il avait démissionné. L’expert gastro-entérologue a tenu compte de la démission du recourant à la fin de l’année 2019 en raison d’une fatigue générale, d’une usure et d’un épuisement physique et psychique, mais a toutefois considéré que sa capacité de travail était toujours de 90% depuis 2013, relevant que le régime alimentaire du recourant était relativement efficace, ce qui lui permettait de diminuer les symptômes, et que recourant ne prenait plus de médicaments spécifiques et qu’il n’avait pas de suivi gastroentérologique ni nutritionnel. Les symptômes n’évoluaient pas. Du point de vue somatique, il disposait de réserves. Il avait été capable d’adapter son régime au mieux et il était autonome du point de vue de la vie quotidienne. ![endif]&gt;![if&gt; L’expert psychiatre a considéré pour sa part que point de vue de la psychiatrie, le recourant avait toujours été capable de travailler, après avoir examiné les indicateurs d’exigibilité. Il résulte ainsi de l’expertise du J______, dont les conclusions sur la capacité de travail du recourant sont cohérentes et motivées et pas sérieusement remises en cause, que c’est à juste titre qu’elle retient l’année 2013 comme début d’une incapacité durable, malgré l’appréciation subjective différente du recourant à ce sujet et le fait qu’il a concrètement travaillé à 100% entre 2013 et fin 2019.</w:t>
      </w:r>
    </w:p>
    <w:p>
      <w:r>
        <w:rPr>
          <w:b/>
        </w:rPr>
        <w:t>E. 6.2</w:t>
      </w:r>
    </w:p>
    <w:p>
      <w:r>
        <w:t>![endif]&gt;![if&gt;</w:t>
      </w:r>
    </w:p>
    <w:p>
      <w:r>
        <w:rPr>
          <w:b/>
        </w:rPr>
        <w:t>E. 6.2.1</w:t>
      </w:r>
    </w:p>
    <w:p>
      <w:r>
        <w:t>Le recourant a fait valoir qu’en 2022, son état psychique s’était péjoré avec une incapacité de travail totale sans perspective d’amélioration, se référant aux rapports du Dr B______.![endif]&gt;![if&gt;</w:t>
      </w:r>
    </w:p>
    <w:p>
      <w:r>
        <w:rPr>
          <w:b/>
        </w:rPr>
        <w:t>E. 6.2.2</w:t>
      </w:r>
    </w:p>
    <w:p>
      <w:r>
        <w:t>L’expert psychiatre du J______ a pris contact le 28 octobre 2022 avec le Dr B______, qui lui a indiqué suivre le recourant depuis août 2018 pour un épisode dépressif sévère sans symptômes psychotiques et un syndrome douloureux somatoforme, à raison d’environ deux à trois rendez-vous par mois. Les limitations fonctionnelles étaient une fatigabilité et un manque d’énergie quasiment permanents, un ralentissement psychomoteur, un découragement, une démotivation, une procrastination et une indécision, une réduction de la capacité créative et de la flexibilité intellectuelle, une baisse de la concentration et de la mémoire, un repli social, une perte d’autonomie pour certaines tâches et une difficulté à gérer le stress. La Mirtazapine était dans les valeurs thérapeutiques.![endif]&gt;![if&gt; L’expert a encore résumé les rapports du Dr B______ des 29 janvier et 26 octobre 2020 et 30 mars 2022. L’expert psychiatre a indiqué que selon son examen et l’anamnèse, il avait retenu les mêmes diagnostics que le Dr B______, mais pas en ce qui concernait la gravité de l’épisode dépressif, relevant que le recourant lui-même ne considérait pas avoir une maladie psychiatrique. Son problème principal était la douleur et la difficulté à vivre avec. C’était pour ce motif que l’expert avait retenu un épisode dépressif léger avec syndrome somatique. Tous les symptômes constatés par l’expert étaient liés à la douleur. L’expert s’est enfin déterminé sur les indicateurs standards d’exigibilité par rapport au trouble somatoforme, de façon convaincante. L’expert s’est enfin étonné du fait que le traitement par Remeron 30 mg n’avait pas été modifié depuis 2018 alors que le Dr B______ parlait d’un épisode dépressif sévère. Apparemment, ce traitement n’avait pas fait diminuer les symptômes. Un changement de molécules antidépressives aurait pu être effectué, ce qui n’avait pas été le cas. Au vu de la motivation de l’expert psychiatre, ses conclusions sont convaincantes et elles ne sont pas suffisamment remises en cause par les rapports du Dr B______, qui n’a en particulier pas examiné les indicateurs d’exigibilité. C’est donc à juste titre que l’intimé a retenu une capacité de travail de 90% de l’assuré, sans aggravation dès 2019.</w:t>
      </w:r>
    </w:p>
    <w:p>
      <w:r>
        <w:rPr>
          <w:b/>
        </w:rPr>
        <w:t>E. 6.3</w:t>
      </w:r>
    </w:p>
    <w:p>
      <w:r>
        <w:t>![endif]&gt;![if&gt;</w:t>
      </w:r>
    </w:p>
    <w:p>
      <w:r>
        <w:rPr>
          <w:b/>
        </w:rPr>
        <w:t>E. 6.3.1</w:t>
      </w:r>
    </w:p>
    <w:p>
      <w:r>
        <w:t>Le recourant a fait valoir qu’il y avait une erreur dans la note relative au choix de la méthode d’évaluation de l’invalidité, laquelle indiquait qu’il avait été licencié en 2019, alors qu’il avait démissionné, car il n’était plus en état de travailler à cause de ses problèmes de santé.![endif]&gt;![if&gt;</w:t>
      </w:r>
    </w:p>
    <w:p>
      <w:r>
        <w:rPr>
          <w:b/>
        </w:rPr>
        <w:t>E. 6.3.2</w:t>
      </w:r>
    </w:p>
    <w:p>
      <w:r>
        <w:t>La chambre de céans constate que la note relative au choix de la méthode d’évaluation de l’invalidité du 3 janvier 2023 mentionne sous ch. 2 let. b, que le recourant avait exercé la fonction de technicien informatique à 100% depuis 2016 pour C______ et qu’il avait donné sa démission pour le 31 décembre 2019 en raison de son état de santé. Le fait que cette note mentionne ensuite sous ch. 3 que le recourant avait été licencié en 2019 est effectivement erroné, mais cela n’a eu aucune conséquence concrète défavorable pour le recourant. Cette erreur ne remet pas sérieusement en cause l’évaluation de l’invalidité du recourant à laquelle l’intimé a procédé.![endif]&gt;![if&gt;</w:t>
      </w:r>
    </w:p>
    <w:p>
      <w:r>
        <w:rPr>
          <w:b/>
        </w:rPr>
        <w:t>E. 6.4</w:t>
      </w:r>
    </w:p>
    <w:p>
      <w:r>
        <w:t>![endif]&gt;![if&gt;</w:t>
      </w:r>
    </w:p>
    <w:p>
      <w:r>
        <w:rPr>
          <w:b/>
        </w:rPr>
        <w:t>E. 6.4.1</w:t>
      </w:r>
    </w:p>
    <w:p>
      <w:r>
        <w:t>Le recourant a encore fait valoir que Mme D______ avait omis de mentionner dans son rapport d’évaluation, suite à leurs entretiens des 2 juin et 15 septembre 2020, ses consultations durant l’année 2015 auprès du docteur K______, médecin adjoint du service de gastroentérologie et hépatologie des Hôpitaux universitaires de Genève (HUG), qui confirmeraient le diagnostic posé en 2012 par le docteur L______, gastroentérologue, (œsophagite à éosinophile et syndrome de l’intestin irritable invalidant). Il avait pourtant évoqué ces consultations lors de leurs entretiens. ![endif]&gt;![if&gt;</w:t>
      </w:r>
    </w:p>
    <w:p>
      <w:r>
        <w:rPr>
          <w:b/>
        </w:rPr>
        <w:t>E. 6.4.2</w:t>
      </w:r>
    </w:p>
    <w:p>
      <w:r>
        <w:t>Même si ce grief s’avérait exact, il serait sans conséquence pour le recourant, étant relevé que la synthèse du dossier figurant dans l’expertise du J______ mentionne les rapports du Dr K______, en particulier celui du 25 février 2015, dont il ressort que l’assuré avait bénéficié d’un suivi depuis avril auprès du Dr L______.![endif]&gt;![if&gt;</w:t>
      </w:r>
    </w:p>
    <w:p>
      <w:r>
        <w:rPr>
          <w:b/>
        </w:rPr>
        <w:t>E. 6.5</w:t>
      </w:r>
    </w:p>
    <w:p>
      <w:r>
        <w:t>![endif]&gt;![if&gt;</w:t>
      </w:r>
    </w:p>
    <w:p>
      <w:r>
        <w:rPr>
          <w:b/>
        </w:rPr>
        <w:t>E. 6.5.1</w:t>
      </w:r>
    </w:p>
    <w:p>
      <w:r>
        <w:t>Le recourant a encore fait valoir qu’il manquait des pièces au dossier. Le 5 décembre 2018, sur demande du Dr F______ et dans le cadre de la recherche d’un surdéveloppement bactérien de l’intestin grêle (SIBO - small intestinal bacterial overgrowth ), il avait passé un premier test respiratoire au lactulose de trois heures au laboratoire d’analyses médicales MGD aux Acacias. Ce test avait été qualifié de difficilement interprétable par le Dr F______. ![endif]&gt;![if&gt; Le 25 juin 2019, il avait passé un deuxième test respiratoire au fructose au laboratoire d’analyses médicales M______, lequel avait confirmé la présence probable d’un SIBO ainsi qu’une intolérance au fructose. Le 6 décembre 2018, sur demande du Dr F______, il avait passé un test sanguin de détection d’éventuelles hypersensibilités alimentaires au laboratoire d’analyses médicales N______. Les résultats de ces tests faisaient état d’une hypersensibilité alimentaire caractérisée aux blancs d’œufs, aux œufs, à la caséine, au lait, au lait de chèvre, à l’avoine, au blé, à l’orgue, au riz, au seigle, à la viande de bœuf, à la viande de porc, à la figue, au kiwi, à l’orange, aux pommes, aux amandes, à l’ail, aux champignons, aux pommes de terre, au curry, au paprika, au poivre noir, à la vanille, au cacao, au café, au thé et à la gliadine. Ces trois rapports manquaient au dossier et le J______ n’avait pu les prendre en compte.</w:t>
      </w:r>
    </w:p>
    <w:p>
      <w:r>
        <w:rPr>
          <w:b/>
        </w:rPr>
        <w:t>E. 6.5.2</w:t>
      </w:r>
    </w:p>
    <w:p>
      <w:r>
        <w:t>Même si le grief du recourant était fondé, les rapports en cause n’apparaissent pas de nature à modifier les conclusions de l’expertise, étant rappelé qu’il n’est pas contesté que le recourant souffre d’un intestin irritable avec douleurs abdominales résistantes au traitement en particulier.![endif]&gt;![if&gt;</w:t>
      </w:r>
    </w:p>
    <w:p>
      <w:r>
        <w:rPr>
          <w:b/>
        </w:rPr>
        <w:t>E. 6.6</w:t>
      </w:r>
    </w:p>
    <w:p>
      <w:r>
        <w:t>![endif]&gt;![if&gt;</w:t>
      </w:r>
    </w:p>
    <w:p>
      <w:r>
        <w:rPr>
          <w:b/>
        </w:rPr>
        <w:t>E. 6.6.1</w:t>
      </w:r>
    </w:p>
    <w:p>
      <w:r>
        <w:t>Le recourant a fait valoir qu’il n’avait vu l’expert psychiatre du J______ qu’une heure et demie dans le cadre d’un entretien d’expertise qui comportait une quarantaine de questions générales. L’expert n’avait pas rapporté ses propos correctement, dans le seul but de requalifier, sans aucune raison valable, un diagnostic établi de longue date, afin d’en minimiser son impact sur sa capacité à travailler et restreindre son droit à recevoir une rente d’invalidité. À la question de savoir quel moyen il avait envisagé pour se suicider, il avait répondu « en fonçant dans un mur en bagnole, en sautant d’un pont, des trucs comme ça ». Des enregistrements audio des entretiens d’expertise avaient été effectués et étaient disponibles auprès de l’OAI. Or, l’expert avait rapporté ses propos en indiquant « qu’il avait eu des idées noires : provoquer un accident, ceci en raison d’un sentiment de ras le bol par rapport à ses troubles intestinaux. »![endif]&gt;![if&gt; La durée d’un examen clinique ne figure pas au nombre des critères retenus par la jurisprudence pour apprécier la valeur du travail de l’expert dont le rôle consiste notamment à se faire une idée sur l’état de santé d’un assuré dans un délai relativement bref (ATF 125 V 351 consid. 3a ; arrêt du Tribunal fédéral I 1048/06 du 26 novembre 2007 consid. 4. Le travail de l’expert ne s’arrête pas au stade de l’entretien, mais consiste également et avant tout à l’analyse des propos recueillis et du comportement observé (arrêts du Tribunal fédéral I 719/06 du 4 juillet 2007 consid. 2.2 ; I 764/05 du 30 mai 2005 consid. 2.3). En l’espèce, l’expert a pris le temps nécessaire pour entendre le recourant et recueillir les données utiles pour établir son expertise. Le fait qu’il ne l’a reçu qu’à une reprise ne compromet pas la force probante de l’expertise. En plus de l’examen proprement dit, l’expert disposait de différents documents médicaux qui lui ont permis de poser un diagnostic qui ne relevait pas d’une unique observation momentanée. Enfin, s’agissant des propos du recourant qui auraient été mal relatés, la chambre de céans relève qu’il ressort de l’exemple donné par le recourant que les termes utilisés par l’expert étaient certes différents de ceux du recourant, mais qu’ils correspondaient à ce qu’il avait dit, exprimé de façon plus générale.</w:t>
      </w:r>
    </w:p>
    <w:p>
      <w:r>
        <w:rPr>
          <w:b/>
        </w:rPr>
        <w:t>E. 6.7</w:t>
      </w:r>
    </w:p>
    <w:p>
      <w:r>
        <w:t>![endif]&gt;![if&gt;</w:t>
      </w:r>
    </w:p>
    <w:p>
      <w:r>
        <w:rPr>
          <w:b/>
        </w:rPr>
        <w:t>E. 6.7.1</w:t>
      </w:r>
    </w:p>
    <w:p>
      <w:r>
        <w:t>Le recourant a émis plusieurs critiques contre l’expertise du J______, procédant ainsi à sa propre analyse de son cas, ce qui ne suffit pas à remettre sérieusement en cause, celle de l’expert psychiatre.![endif]&gt;![if&gt;</w:t>
      </w:r>
    </w:p>
    <w:p>
      <w:r>
        <w:rPr>
          <w:b/>
        </w:rPr>
        <w:t>E. 6.8</w:t>
      </w:r>
    </w:p>
    <w:p>
      <w:r>
        <w:t>En conclusion, l’expertise du J______ doit se voir reconnaître une pleine valeur probante, et la décision de l’intimé prise sur la base de ses conclusions doit être confirmée.![endif]&gt;![if&gt;</w:t>
      </w:r>
    </w:p>
    <w:p>
      <w:r>
        <w:rPr>
          <w:b/>
        </w:rPr>
        <w:t>E. 7</w:t>
      </w:r>
    </w:p>
    <w:p>
      <w:r>
        <w:t>Infondé, le recours sera rejeté.![endif]&gt;![if&gt; Un émolument de CHF 200.- sera mis à la charge du recourant (art. 69 al.1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