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A/949/2017 vom 2. Mai 2017</w:t>
      </w:r>
    </w:p>
    <w:p>
      <w:r>
        <w:t>GE Cour de justice, 2017-05-02, FR</w:t>
      </w:r>
    </w:p>
    <w:p>
      <w:r>
        <w:rPr>
          <w:b/>
        </w:rPr>
        <w:t xml:space="preserve">Quelle: </w:t>
      </w:r>
      <w:r>
        <w:t>https://mcp.opencaselaw.ch/entscheid/ge_gerichte_A_949_2017</w:t>
      </w:r>
    </w:p>
    <w:p>
      <w:r>
        <w:t>FR: GE_GERICHTE A/949/2017 du 2 mai 2017</w:t>
      </w:r>
    </w:p>
    <w:p>
      <w:r>
        <w:t>IT: GE_GERICHTE A/949/2017 del 2 maggio 2017</w:t>
      </w:r>
    </w:p>
    <w:p>
      <w:pPr>
        <w:pStyle w:val="Heading2"/>
      </w:pPr>
      <w:r>
        <w:t>Erwägungen</w:t>
      </w:r>
    </w:p>
    <w:p>
      <w:r>
        <w:rPr>
          <w:b/>
        </w:rPr>
        <w:t>E. 2</w:t>
      </w:r>
    </w:p>
    <w:p>
      <w:r>
        <w:t>Le 3 mars 2017, selon un rapport d’un gardien de la prison au directeur de celle-ci, l’intéressé s’était plaint dans un premier temps qu’une lettre lui appartenant avait disparu de sa cellule. Par la suite, des codétenus avaient alerté les surveillants de l’imminence d’une altercation entre M. A______ et le détenu Monsieur B______ avec lequel il partageait la même cellule. Le gardien était alors intervenu. M. A______ accusait le codétenu précité d’avoir volé cette lettre. Celui-ci le contestait. En présence du gardien, après que le ton était monté entre les deux hommes, M. B______ avait frappé M. A______ au visage et ceux-ci avaient commencé à se battre. Le gardien s’était trouvé contraint de déclencher l’alarme. Après avoir été maîtrisés, les deux détenus avaient été placés en cellule forte à 11h15.![endif]&gt;![if&gt;</w:t>
      </w:r>
    </w:p>
    <w:p>
      <w:r>
        <w:rPr>
          <w:b/>
        </w:rPr>
        <w:t>E. 3</w:t>
      </w:r>
    </w:p>
    <w:p>
      <w:r>
        <w:t>Le même jour, le gardien chef Monsieur C______ a procédé à l’audition de chacun des deux hommes et leur a signifié une sanction sous forme de placement en cellule forte pour une durée de trois jours pour violences physiques exercées à l’encontre d’un détenu et troubles à l’ordre de l’établissement.![endif]&gt;![if&gt;</w:t>
      </w:r>
    </w:p>
    <w:p>
      <w:r>
        <w:rPr>
          <w:b/>
        </w:rPr>
        <w:t>E. 4</w:t>
      </w:r>
    </w:p>
    <w:p>
      <w:r>
        <w:t>La sanction a fait l’objet d’une notification formelle signée par la direction et le gardien chef-adjoint de la prison, notifiée le jour même à 18h30. M. A______ a refusé de signer le document.![endif]&gt;![if&gt;</w:t>
      </w:r>
    </w:p>
    <w:p>
      <w:r>
        <w:rPr>
          <w:b/>
        </w:rPr>
        <w:t>E. 5</w:t>
      </w:r>
    </w:p>
    <w:p>
      <w:r>
        <w:t>Le même jour, il s’est adressé par écrit au directeur adjoint pour protester contre cette punition qu’il trouvait injuste. Il n’avait été que la victime, tout d’abord d’un vol commis par M. B______ puis d’un coup asséné par ce dernier. On lui reprochait faussement d’avoir usé de violence en premier.![endif]&gt;![if&gt;</w:t>
      </w:r>
    </w:p>
    <w:p>
      <w:r>
        <w:rPr>
          <w:b/>
        </w:rPr>
        <w:t>E. 6</w:t>
      </w:r>
    </w:p>
    <w:p>
      <w:r>
        <w:t>Par pli posté le 16 mars 2017, M. A______ a interjeté un recours auprès de la chambre administrative de la Cour de justice (ci-après : la chambre administrative) contre la sanction précitée en concluant à son annulation. Il contestait les faits qui lui étaient imputés. Ils répétaient que dans les circonstances qui avaient déclenché l’intervention des gardiens, il n’avait été que la victime, alors qu’on lui reprochait d’être l’auteur de l’agression. Il n’avait jamais eu aucun problème à la prison jusque-là. Le directeur n’avait pas tenu compte de ses dénégations transmises par écrit. Il avait un témoin qui pouvait attester de son innocence.![endif]&gt;![if&gt;</w:t>
      </w:r>
    </w:p>
    <w:p>
      <w:r>
        <w:rPr>
          <w:b/>
        </w:rPr>
        <w:t>E. 7</w:t>
      </w:r>
    </w:p>
    <w:p>
      <w:r>
        <w:t>Par pli du 20 mars 2017, le juge délégué a demandé à M. A______ qu’ils transmettent le nom de son témoin.![endif]&gt;![if&gt;</w:t>
      </w:r>
    </w:p>
    <w:p>
      <w:r>
        <w:rPr>
          <w:b/>
        </w:rPr>
        <w:t>E. 8</w:t>
      </w:r>
    </w:p>
    <w:p>
      <w:r>
        <w:t>Le 22 mars 2017, M. A______ a répondu qu’il s’agissait d’un surveillant en rotation dont il ne connaissait pas le nom.![endif]&gt;![if&gt;</w:t>
      </w:r>
    </w:p>
    <w:p>
      <w:r>
        <w:rPr>
          <w:b/>
        </w:rPr>
        <w:t>E. 9</w:t>
      </w:r>
    </w:p>
    <w:p>
      <w:r>
        <w:t>Le 13 avril 2017, la prison a conclu au rejet du recours. Sur la base du rapport du gardien relatif à l’altercation, le recourant avait été sanctionné comme le codétenu pour avoir participé à une bagarre. C’était cette participation à des actes de violence à l’intérieur de la prison qui lui était reprochée. On ne lui incriminait pas d’avoir initié la bagarre mais d’avoir répliqué de manière violente aux gestes de son codétenu. La sanction était justifiée puisque l’intéressée avait transgressé son obligation d’observer en toute circonstance une attitude correcte à l’égard du personnel et des autres personnes incarcérées. Il avait également troublé l’ordre et la tranquillité de l’établissement en se battant avec un codétenu. Une sanction de trois jours de placement en cellule forte était proportionnée à la faute commise eu égard à la sanction maximale de dix jours de cellule forte de la compétence du directeur de la prison.![endif]&gt;![if&gt;</w:t>
      </w:r>
    </w:p>
    <w:p>
      <w:r>
        <w:rPr>
          <w:b/>
        </w:rPr>
        <w:t>E. 10</w:t>
      </w:r>
    </w:p>
    <w:p>
      <w:r>
        <w:t>Le 23 avril 2017, le détenu a répliqué en persistant dans ses conclusions. Le témoin dont il demandait l’audition était le surveillant auteur du rapport du 3 mars 2017 dont le nom figurait dans ce document. ![endif]&gt;![if&gt;</w:t>
      </w:r>
    </w:p>
    <w:p>
      <w:r>
        <w:rPr>
          <w:b/>
        </w:rPr>
        <w:t>E. 11</w:t>
      </w:r>
    </w:p>
    <w:p>
      <w:r>
        <w:t>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Aux termes de l'art. 60 let. b LPA, ont qualité pour recourir toutes les personnes qui sont touchées directement par une décision et ont un intérêt digne de protection à ce qu'elle soit annulée ou modifiée.![endif]&gt;![if&gt; b. Selon la jurisprudence, le recourant doit avoir un intérêt pratique à l'admission du recours, soit que cette admission soit propre à lui procurer un avantage, de nature économique, matérielle ou idéale (ATF 138 II 162 consid. 2.1.2 p. 164). c. Un intérêt digne de protection suppose un intérêt actuel à obtenir l’annulation de la décision attaquée (ATF 138 II 42 consid. 1 p. 44). L’existence d’un intérêt actuel s’apprécie non seulement au moment du dépôt du recours, mais aussi lors du prononcé de la décision sur recours (ATF 137 I 296 consid. 4.2 p. 299). Si l'intérêt actuel fait défaut lors du dépôt du recours, ce dernier est déclaré irrecevable (ATF 139 I 206 consid. 1.1 p. 208) ; s’il s’éteint pendant la procédure, le recours, devenu sans objet, doit être simplement radié du rôle (ATF 137 I 23 consid. 1.3.1 p. 24).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p. 208). e. En l’espèce, le recourant dispose d'un intérêt digne de protection à recourir contre la sanction prononcée contre lui. La légalité d’un placement en cellule forte doit pouvoir faire l’objet d’un contrôle en vertu de la jurisprudence du Tribunal fédéral précitée, nonobstant l’absence d’intérêt actuel, puisque cette sanction a déjà été exécutée. En effet, cette situation pourrait encore se présenter ( ATA/183/2013 du 19 mars 2013 et la jurisprudence citée), dès lors qu'il ne ressort pas du dossier que le recourant aurait quitté la prison à ce jour. Le recours est donc recevable à tous points de vue. 3. Le recourant se plaint de ce que son placement en cellule forte pendant trois jours serait infondé, dès lors que c’était son codétenu qui avait porté le premier coup ayant déclenché l’altercation. ![endif]&gt;![if&gt; 4. Il sollicite préalablement l’audition du gardien, auteur du rapport du 3 mars 2017.![endif]&gt;![if&gt;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b. S’agissant de l’audition requise par le recourant, celle-ci n’est pas susceptible d’éclairer la chambre de céans sur la question juridique à trancher, le rapport qu’il a rédigé à l’adresse du directeur de la prison ne comportant pas d’imprécision sur les faits pertinents. Il ne sera donc pas donné suite à cette requête puisqu’elle dispose de tous les éléments nécessaires pour statuer en connaissance de cause. 5. 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 ATA/902/2016 du 25 octobre 2016 ; Pierre MOOR/Étienne POLTIER, Droit administratif, vol. 2, 3 ème éd., 2011, p. 142 à 145).![endif]&gt;![if&gt; 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ATA/309/2016 du 12 avril 2016 ; ATA/972/2015 du 22 septembre 2015). 6. a.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50).![endif]&gt;![if&gt; b.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 c.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d. À teneur de l’art. 47 al. 3 RRIP, le directeur est compétent pour prononcer la suppression de visite pour quinze jours au plus (let. a) ; la suppression des promenades collectives (let. b) ; la suppression d’achat pour quinze jours au plus (let. c) ; la suppression de l’usage des moyens audiovisuels pour quinze jours au plus (let. d) ; la privation de travail (let. e) ; le placement en cellule forte pour dix jours au plus (let. f), étant précisé que ces sanctions peuvent se cumuler (art. 47 al. 4 RRIP). Il peut déléguer la compétence de prononcer les sanctions prévues à l'alinéa 3 à d'autres fonctionnaires gradés de la prison jusqu'au grade de sous-chef (art. 47 al. 5 RRIP). 7. De jurisprudence constante, la chambre de céans accorde généralement valeur probante aux constatations figurant dans un rapport de police, établi par des agents assermentés ( ATA/902/2016 précité ; ATA/99/2014 du 18 février 2014), sauf si des éléments permettent de s’en écarter. Dès lors que les agents de détention sont également des fonctionnaires assermentés (art. 7 LOPP), le même raisonnement peut être appliqué aux rapports établis par ces derniers.![endif]&gt;![if&gt; 8. En l'espèce, il ressort du rapport du gardien du 3 mars 2017 que c’est effectivement le codétenu du recourant qui a donné le premier coup. Toutefois, une telle circonstance n’autorise pas celui qui le reçoit à se faire lui-même immédiatement justice. Ce qui est reproché au recourant est d’avoir répondu au-delà d’une réaction destinée uniquement à se protéger, soit en commençant immédiatement à se battre avec son collègue de cellule et en échangeant avec lui des coups, altercation à laquelle seule l’intervention des gardiens alertés a pu mettre fin. En adoptant ce comportement, le recourant a bel et bien transgressé la règle de discipline qui lui est imposée par l’art. 44 RRIP et troublé l’ordre de la prison en violation de l’art. 45 let. h RRIP. ![endif]&gt;![if&gt; La direction de la prison était donc fondée à le sanctionner pour ces faits. Vu l’importance du trouble qu’occasionne une bagarre entre détenus dans une prison notoirement surpeuplée ( ATA/803/2016 du 27 septembre 2016 ; ATA/734/2015 du 14 juillet 2015 consid. 7) et la nécessité d’en prévenir la survenance, une sanction de trois jours de cellule forte respecte le principe de la proportionnalité. En tous points infondé, le recours sera rejeté. 9. Vu la nature du litige, aucun émolument ne sera perçu (art. 87 al. 1 LPA ; art. 12 al. 1 du règlement sur les frais, émoluments et indemnités en procédure administrative du 30 juillet 1986 - RFPA - E 5 10.03). Vu l’issue du litige, aucune indemnité de procédure ne sera allouée au recourant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