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A/948/2020 vom 30. November 2021</w:t>
      </w:r>
    </w:p>
    <w:p>
      <w:r>
        <w:t>GE Cour de justice, 2021-11-30, FR</w:t>
      </w:r>
    </w:p>
    <w:p>
      <w:r>
        <w:rPr>
          <w:b/>
        </w:rPr>
        <w:t xml:space="preserve">Quelle: </w:t>
      </w:r>
      <w:r>
        <w:t>https://mcp.opencaselaw.ch/entscheid/ge_gerichte_A_948_2020</w:t>
      </w:r>
    </w:p>
    <w:p>
      <w:r>
        <w:t>FR: GE_GERICHTE A/948/2020 du 30 novembre 2021</w:t>
      </w:r>
    </w:p>
    <w:p>
      <w:r>
        <w:t>IT: GE_GERICHTE A/948/2020 del 30 novembre 2021</w:t>
      </w:r>
    </w:p>
    <w:p>
      <w:pPr>
        <w:pStyle w:val="Heading2"/>
      </w:pPr>
      <w:r>
        <w:t>Regeste</w:t>
      </w:r>
    </w:p>
    <w:p>
      <w:r>
        <w:t>OBJET DU LITIGE;PRINCIPE DE LA CÉLÉRITÉ;PRESCRIPTION;ÉVASION FISCALE;PRÊT À USAGE;DÉDUCTION DES INTÉRÊTS PASSIFS;IMPÔT SUR LA FORTUNE;IMPÔT SUR LE REVENU;FARDEAU DE LA PREUVE;ÉTANCHÉITÉ;FRAIS DE CONSTRUCTION | Recours contre un jugement du TAPI confirmant des reprises effectuées par l'AFC-GE dans le cadre de la taxation des recourants. Absence de violation du principe de la célérité. Refus de déduction du prêt accordé par le père de la recourante par le biais de sa société « offshore » pour financer l'activité de promotrices immobilières de cette dernière avec sa sœur et des intérêts y relatifs : examen des conditions de l'évasion fiscale, en l'occurrence réalisées. Refus de déduction d'une reconnaissance de dette et des intérêts liés : ladite reconnaissance ne repose sur aucune cause valable à teneur du dossier, alors que le fardeau de la preuve reposait sur les recourants, s'agissant d'un élément diminuant la taxation. Refus d'admission de frais allégués de liquidation pour déterminer le coût de construction d'immeubles, ayant eu un impact sur le bénéfice des ventes opérées dans ces immeubles et sur la valeur à l'actif de ceux-ci : les plans financiers validés par la direction générale du logement ne lient que l'autorité concernée et non les autorités fiscales et il appartenait aux recourants de prouver par pièces les coûts de construction, ce qu'ils n'ont pas fait. Reprise liée à un remboursement par une locataire confirmée : remboursement comptabilisé à tort comme apport au compte crédit du compte courant actionnaire sans influence sur le résultat, alors qu'il aurait dû être comptabilisé comme produit affectant le résultat. Recours rejeté. | LPA.65; LPA.69; Cst.29.al2; Cst.29.al1; LPFisc.22; LHID.47.al1; LIPP.46; LHID.13.al1; LIPP.47.alf; LIPP.56; LIPP.28; LIPP.30.alj; LHID.10.al1.lete; LIPP.34.leta; LHID.9.al2.leta; CC.8; LIPP.47.leta; LIPP.49; LHID.17.al1; LHID.14.al1; LIPP.51; LIPP.19; LHID.7.al1; LHID.8.al1; LIPP.12.al1.letj</w:t>
      </w:r>
    </w:p>
    <w:p>
      <w:pPr>
        <w:pStyle w:val="Heading2"/>
      </w:pPr>
      <w:r>
        <w:t>Erwägungen</w:t>
      </w:r>
    </w:p>
    <w:p>
      <w:r>
        <w:rPr>
          <w:b/>
        </w:rPr>
        <w:t>E. 18</w:t>
      </w:r>
    </w:p>
    <w:p>
      <w:r>
        <w:t>avril 2006 consid. 3.2 et les références citées). 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 er mars 2007 consid. 3.3.2). c.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ATA/1249/2020 du 8 décembre 2020 consid. 3a ; ATA/600/2020 du 16 juin 2020 consid. 4b). Le droit de procéder à la taxation se prescrit par cinq ans à compter de la fin de la période fiscale, sous réserve des art. 61 et 77 LPFisc (non pertinents en l'espèce ; art. 22 al. 1 LPFisc ; art. 47 al. 1 de la loi fédérale sur l’harmonisation des impôts directs des cantons et des communes du 14 décembre 1990 - LHID - RS 642.14).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 poursuite pénale est introduite ensuite de soustraction d’impôt consommée ou de délit fiscal (let. d ; art. 22 al. 3 LPFisc). La prescription du droit de procéder à la taxation est acquise dans tous les cas quinze ans après la fin de la période fiscale (art. 47 al. 1 LHID ; art. 22 al. 4 LPFisc). Cette réglementation de droit cantonal est identique à la LIFD ( ATA/1638/2019 du 5 novembre 2019 consid. 2b). Selon la jurisprudence, toutes les mesures des autorités tendant à la fixation de la prétention fiscale et portées à la connaissance du contribuable, de mêmes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 L'information de l'ouverture d'une procédure pour tentative de soustraction d'impôt constitue une mesure par laquelle l'autorité fiscale signale au contribuable sa volonté de procéder par la suite à sa taxation et relève ainsi d'un cas d'application de l'art. l'art. 22 al. 3 let. a LPFisc (ATF 139 I 64 consid. 3.3 ; arrêt du Tribunal fédéral 2C/74/2021 du 26 juillet 2021 consid. 4.2). d. En l'espèce, l'autorité intimée a émis les bordereaux litigieux, concernant la période fiscale 2010, le 16 mai 2018, et par rapport aux périodes fiscales 2011 à 2015, le 12 novembre 2018. Avant cela, elle avait informé les contribuables de l'ouverture d'une procédure pénale pour tentative de soustraction d'impôt en particulier pour l'ICC 2010 et 2011 le 18 décembre 2012, notamment en relation avec le prêt de G______, ensuite de quoi des échanges avaient eu lieu avec les contribuables en 2013 et 2014 concernant les mêmes années fiscales. Après le 24 octobre 2014, l'AFC-GE a envoyé deux courriers précisant valoir interruption de la prescription le 27 novembre 2015 pour l'année fiscale 2010 et le 15 novembre 2016 pour l'année fiscale 2011. Le 17 novembre 2017, lors d'un entretien avec le mandataire des recourants, les problématiques fiscales ont été abordées, avec référence expresse aux années 2012 à 2016, ensuite de quoi l'AFC-GE a récapitulé dans une annexe à un courriel du 22 décembre 2017 les reprises qu'elle envisageait pour les années 2007 à 2016. La prescription a ainsi été interrompue pour chacune des années litigieuses avant son échéance et elle n'était dès lors pas acquise lors du prononcé des bordereaux litigieux. Elle a depuis lors été suspendue tant par la procédure de réclamation que par la procédure de recours, de sorte que le délai de prescription relatif de cinq ans n'est pas atteint, pas plus que le délai absolu de quinze ans. Les recourants se plaignent néanmoins d'une violation du principe de la célérité. Il est vrai que l'autorité intimée a émis le bordereau de taxation 2010 le 16 mai 2018 et ceux concernant les années fiscales 2011 à 2015 le 12 novembre 2018, ceci alors qu'elle avait informé les contribuables de l'ouverture d'une procédure de tentative de soustraction fiscale pour les années 2010 et 2011 le 18 décembre 2012, cinq à six ans auparavant. Par ailleurs, la procédure a certes connu des périodes où l'activité de l'autorité intimée a été moindre, en particulier en 2015, 2016 et 2017, uniquement marquées, après le 13 février 2015, par les deux courriers interruptifs de la prescription des 27 novembre 2015 et 15 novembre 2016 jusqu'au courrier de relance des recourants du 10 juillet 2017. Toutefois, il n'en demeure pas moins qu'il n'y a pas eu d'année dépourvue d'activité de l'autorité intimée et que les recourants – qui avaient pour chaque année déposé leur déclaration fiscale, avaient connaissance du fait que l'autorité intimée instruisait certains points qu'elle estimait devoir faire l'objet de reprises et savaient qu'ils devaient faire l'objet d'une taxation pour chacune de ces années – ne l'ont relancée qu'en juillet 2017, ceci sans la mettre formellement en demeure de rendre des décisions. L'autorité intimée a donné suite à cette relance, des échanges de courriels et des entretiens en novembre 2017 et janvier 2018 s'en étant ensuivi et ayant mené au prononcé des bordereaux litigieux. Par ailleurs si la durée des procédures de taxation, surtout par rapport aux années fiscales concernées les plus anciennes, est regrettable, elle n'en demeure pas moins conforme aux règles en matière de prescription. Constitue en outre un élément à prendre en compte, comme l'allègue l'autorité intimée, le fait que cette dernière a dû traiter de manière coordonnée trois dossiers pour les années fiscales 2010 à 2015 concernées, les recourants ayant eu connaissance d'au moins un de ces dossiers parallèles, dans le cadre duquel des courriers conjoints, figurant au dossier, ont été adressés à l'autorité intimée. Dans ces circonstances, il ne peut être retenu l'existence d'une violation du principe de célérité, justifiant d'annuler la décision litigieuse. Le TAPI était donc fondé à écarter ce grief. 5) Les recourants contestent le refus de déduction du prêt de CHF 51'000'000.- accordé par G______ dans le cadre de l'activité de promotrice immobilière exercée avec sa sœur pour le calcul de l'impôt sur la fortune ainsi que le refus de déduction des intérêts desdits prêt pour le calcul de l'impôt sur le revenu. a. L'impôt sur la fortune a pour objet l'ensemble de la fortune nette après déductions sociales (art. 46 LIPP ; art. 13 al. 1 LHID). La fortune inclut les éléments composant la fortune commerciale (art. 47 let.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 ère phr. LIPP). 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 Seules les dettes grevant effectivement la substance économique du patrimoine du contribuable sont déductibles. Tel est le cas s'il y a un risque sérieux que celui-ci doive s'en acquitter (Markus REICH, Steuerrecht, 2009, § 14 n. 32 ; Ernst HÖHN/Robert WALDBURGER, Steuerrecht, vol. I, 9 ème éd., 2001, § 15 n. 22). b. Le revenu net se calcule en défalquant du total des revenus imposables les déductions générales et les frais mentionnés aux art. 29 à 37 LIPP (art. 28 LIPP). Les contribuables exerçant une activité lucrative indépendante peuvent déduire les frais qui sont justifiés par l’usage commercial ou professionnel (art. 30 1 ère phr. LIPP). Font notamment partie de ces frais les intérêts des dettes commerciales (art. 30 let. j LIPP ; art. 10 al. 1 let. e LHID). Sont notamment déduits du revenu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dans ce cas, seule la part excédentaire n’est pas déductible. L'art. 30 let. j LIPP demeure réservé (art. 34 let. a LIPP ; art. 9 al. 2 let. a LHID). Ces dispositions ont une teneur similaire, si ce n'est identique, à celles prévues par la LIFD. Les intérêts de dettes commerciales sont déductibles sans limites, étant des dépenses justifiées par l'usage commercial. La restriction de l'art. 33 al. 1 let. a LIFD pour les intérêts de dettes privées ne leur est pas applicable (art.27 al. 2 lit. d LIFD ; Yves NOËL in Yves NOËL/Florence AUBRY GIRARDIN, Commentaire de la LIFD, n. 44 ad art. 27 LIFD et n. 11 ad art. 33 LIFD ; Xavier OBERSON, Droit fiscal suisse, 5 ème éd., 2021, n. 330 p. 207). Si la nature commerciale de la dette n’est pas remise en cause, l’autorité de taxation ne saurait en contester la nécessité ni l’ampleur. Il n’y a donc pas de règles de sous-capitalisation pour l’activité indépendante. Les prêteurs peuvent être des banques, des fournisseurs, d’autres tiers, personnes physiques ou sociétés ou même le conjoint de l’indépendant. L’indépendant, en revanche, ne saurait s’accorder un prêt à lui-même, de sa fortune privée à sa fortune commerciale (Yves NOËL, op. cit., n. 45 ad art. 27). En principe, les dettes sont traitées de commerciales, suivant le critère de l'utilisation des fonds étrangers (Xavier OBERSON, op. cit., n. 330 p. 207). c. Selon la jurisprudence,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 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6) a. En l'espèce, les recourants ont chaque année déclaré le prêt de G______ comme passif commercial ainsi que les intérêts y relatifs comme charges commerciales, que l'autorité intimée a refusé de prendre en considération pour le calcul de l'ICC, ce que le TAPI a confirmé et ce que les recourants contestent. Or, le prêt de G______ constitue en principe une dette devant être déduite de la fortune pour déterminer la fortune imposable et, s'agissant d'une dette commerciale, ses intérêts doivent en principe être déduits, sans limite, pour la détermination du revenu imposable. Néanmoins, l'autorité intimée a refusé ces déductions, car elle a retenu l'existence d'une évasion fiscale, tandis que l'instance précédente n'a pas tranché cette question, ayant retenu un prêt simulé. Toutefois, la question du prêt simulé a plus particulièrement été développée en relation avec le traitement fiscal du prêt par rapport à la société prêteuse et à l'actionnaire bénéficiaire, lesquels ne sont dans le cas d'espèce tous deux pas domiciliés en Suisse et ne sont pas concernés par le présent litige, et cette théorie ne s'applique a priori pas aux prêts commerciaux, admis, de sorte que la chambre administrative examinera la présente espèce sous l'angle de l'évasion fiscale. En l'occurrence, le 29 décembre 2009, G______, société « offshore » détenue par le père et la tante de la recourante, a accordé à cette dernière et à sa sœur un prêt de CHF 51'950'000.-, destiné à rembourser le prêt dénoncé par I______, contracté dans le cadre de leur activité de promotrices immobilières. Ce nouveau prêt était soumis à des intérêts annuels de 5 %, payables semestriellement, et était conclu pour une année, avec reconduction tacite d'année en année sauf avis contraire dans le délai prévu. Sous ces aspects, le prêt de G______ est identique à celui qui l'a précédé, accordé par I______. Toutefois, le prêt de G______ ne prévoyait aucune garantie et ne contenait pas d'autres dispositions. Contrairement à ce qu'affirment les recourants, ce prêt n'est ainsi pas en tous points similaire à celui octroyé par I______, lequel était garanti par la tante de la recourante et était soumis aux conditions générales applicables, auxquelles le contrat renvoyait. Or, l'on ne peut que rejoindre la constatation de l'autorité intimée, à savoir que pour un prêt d'une telle importance – près de CHF 52'000'000.- –, il est pour le moins inadapté de ne prévoir aucune garantie et de conclure un contrat si concis, ceci d'autant plus au regard, d'une part, du contexte de la crise économique s'étant déclarée en 2008 et, d'autre part, des comptes des deux sœurs. En effet, au 31 décembre 2009, le bilan de l'activité des deux sœurs enregistrait une perte de CHF 1'805'115.-, qui s'ajoutait aux pertes reportées de CHF 47'731'600'64.-. Il présentait des fonds propres négatifs de CHF 52'769'996.86 (capitaux propres de CHF -50'964'881.86 + perte de CHF -1'805'115.-). Leurs dettes hypothécaires se montaient à CHF 40'553'450.- et le total de leurs dettes à long terme à CHF 103'007'119.40, pour des actifs immobilisés de CHF 47'514'672.60 et des actifs de CHF 50'490'758.54. Si les recourants argumentent sur le fait que la valeur comptable des biens immobiliers de la société simple ne correspondait pas à leur valeur vénale et affirment en outre que ledit patrimoine immobilier avait une valeur vénale supérieure déjà en 2009 puis a encore pris une grande valeur les années suivantes, c'est bien sur les comptes qu'un organisme de prêt se fonde pour examiner la situation financière d'une société, en l'absence de documents démontrant une situation différente, pour déterminer l'opportunité d'accorder un prêt à celle-ci. Or, les recourants n'ont pas démontré que la valeur vénale du parc immobilier aurait été évaluée dans la perspective de la reprise du prêt en décembre 2009. Les estimations des immeubles versées à la procédure datent en effet d'avril 2012 et le tableau de valeur de ces derniers en 2013 et en 2020, outre de n'avoir aucune force probante, concerne des années encore postérieures. Par ailleurs, contrairement à ce qu'affirment les recourants, la L______ n'était pas prête à reprendre le prêt aux mêmes conditions que G______. D'une part, l'offre de celle-ci date du 9 juin 2009 et est donc antérieure de plusieurs mois à la résiliation du prêt par I______, de sorte que rien ne permet de retenir qu'elle ait encore été valable au moment de ladite résiliation. Au contraire, les deux sœurs elles-mêmes ont indiqué à l'autorité intimée en décembre 2013 que la banque avait entretemps modifié ses conditions de prêt, qui n'étaient alors plus du tout favorables, ce qui implique que l'offre de juin 2009 n'était plus valable en décembre 2009. D'autre part et surtout, cette offre prévoyait précisément des garanties sous la forme d'une affectation en gage et d'un nantissement des avoirs déposés sur un compte déterminé et renvoyait aux conditions générales du prêt, contrairement au prêt accordé par G______. Il ressort ainsi de ce qui précède que G______ a accordé un prêt dans des circonstances et à des conditions dans et auxquelles un tiers n'aurait jamais accepté d'en accorder un. Les recourants ont d'ailleurs eux-même admis implicitement ce qui précède dans leurs réclamations, dans lesquelles ils ont indiqué que le rôle des proches étant d'autant plus important dans les périodes de détérioration économique durant lesquelles la solidarité permettait précisément de sauvegarder l'entreprise, puis dans leur recours devant la chambre administrative, dans lequel ils ont affirmé que, s'agissant de relations de familles, les risques du crédit avaient fait l'objet de discussions informelles, sans que cela n'ait nécessité d'être consigné dans un document officiel. G______ a du reste continué par la suite à se comporter d'une manière économiquement inadaptée par rapport à celle qu'aurait adopté un organisme de prêt tiers, le dossier dénotant une capitalisation à certaines occasions des intérêts, vu l'augmentation du montant du prêt à CHF 59'250'000.- à fin 2015, alors qu'il était à CHF 51'950'000.- à fin 2010, et ceci quand bien même tel n'a pas toujours été le cas, comme le démontrent les avis de débit versés à la procédure à l'appui du recours devant la chambre administrative. Au vu de ce qui précède, le procédé choisi – soit la forme du prêt – doit être qualifié d'inadapté au but économique poursuivi, de sorte que l'autorité intimée était fondée à retenir que la première condition de l'évasion fiscale était réalisée. b. S'agissant de la deuxième condition, les recourants affirment que ce sont des raisons commerciales qui ont poussé les deux sœurs à conclure le prêt avec G______, du fait de la résiliation du prêt par I______, et non des motivations fiscales, tout en indiquant que la solution du financement par des proches avait permis d'assurer la pérennité de l'entreprise et le maintien du patrimoine familial, ceci d'autant plus dans un contexte de détérioration économique, durant lequel la solidarité permettait de sauver l'entreprise. Il ressort précisément de cette argumentation que, dans les circonstances qui prévalaient lors du refinancement de 2009, G______, dépourvue de garanties, ne pouvait compter avec certitude sur le remboursement du prêt et qu'elle avait alors envisagé et accepté l'absence de remboursement de ce prêt, ceci en raison des liens familiaux, ce qui confirme la position de l'autorité intimée, qui a considéré que l'intention réelle des parties n'avait jamais été de conclure un réel prêt. Or, la forme du prêt, au contraire de celle de la donation ou de l'avance sur hoirie, permet la déduction dudit prêt dans le cadre de l'impôt sur la fortune et celle des intérêts dans le cadre de l'impôt sur le revenu, en l'occurrence sans taxation en Suisse de la créance résultant du prêt et du revenu découlant du paiement des intérêts, puisque G______ est domiciliée à l'étranger, permettant ainsi d'économiser des impôts, but que ne pouvait qu'avoir le choix de la forme, inadaptée aux données économiques, du prêt par une société détenue par des proches. L'autorité intimée était par conséquent également fondée à retenir que la deuxième condition de l'évasion fiscale était réalisée. c. Par rapport à la dernière condition, les recourants soutiennent qu'il n'y aurait aucune économie d'impôt, puisqu'ils déduisaient déjà auparavant le prêt et les intérêts lorsque la contribuable était avec sa sœur débitrice de I______. Toutefois, c'est bien la taxation avec et sans la construction insolite qu'il convient d'examiner pour déterminer s'il existerait effectivement une notable économie d'impôt si le procédé était admis. Or, en comparant la taxation en admettant chaque année concernée la déduction d'un prêt ayant varié entre près de CHF 52'000'000.- et plus de CHF 59'000'000.- (la moitié correspondant à environ CHF 26'000'000.- et plus de CHF 29'000'000.-) et des intérêts à 5 % y relatifs à celle en refusant lesdites déductions, il est incontestable que l'admission du procédé conduirait à une économie substantielle d'impôt, vu les montants en jeu. L'autorité intimée a dès lors à juste titre retenu que la dernière condition de l'évasion fiscale était aussi réalisée, de sorte qu'elle était fondée à opérer les reprises litigieuses. 7) Les recourants contestent ensuite les reprises liées à la reconnaissance de dette de CHF 5'000'000.- et aux intérêts y relatifs. a.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b.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(arrêt du Tribunal fédéral 2C_383/2011 du 31 octobre 2011 consid. 3.3). c. En l'espèce, les recourants ne contestent pas que l'autorité intimée pouvait, en vertu du principe d'étanchéité des périodes fiscales, statuer nouvellement sur l'admission de la déduction de la reconnaissance de dette de CHF 5'000'000.- et des intérêts y relatifs. Ils affirment cependant que l'instance précédente se serait laissée abuser par des explications nébuleuses sur le fait que la reconnaissance de dette ne devait pas être admise. Les recourants affirment en effet que la reconnaissance de dette de M. E______ envers H______ en 1998 avait permis de trouver une solution avec cette banque, ce qui avait conduit les deux sœurs à ne plus jamais avoir affaire à celle-ci, ce qui démontrait que c'était par l'intervention de leur père que l'opération d'abandon de créance, qui avait largement profité à ces dernières, avait pu être réalisé. Selon leur argumentation, M. E______ avait assumé la reprise de dette de CHF 5'000'000.-, de sorte qu'il était justifié de faire figurer cette dette au passif des deux sœurs, qui avaient bénéficié des mesures d'assainissement. Toutefois, les seules pièces figurant à la procédure concernant cette dette de CHF 5'000'000.- ne confirment pas les explications des recourants, qui supportent le fardeau de la preuve, s'agissant d'éléments diminuant leurs taxations. En effet, la convention avec H______ indique très clairement que c'est M. E______, et non ses deux filles, qui reconnaissait devoir un montant de CHF 5'000'000.- à la banque et rien au dossier ne tend à démontrer qu'il n'aurait reconnu devoir ce montant que parce que ses deux filles auraient à leur tour reconnu lui devoir ce montant. En particulier, aucun document écrit ne le démontre. Or, grâce à la convention avec H______, une dette personnelle de M E______ de CHF 8'806'175.- s'est éteinte, celle-ci ayant été reprise par ses deux filles et incluse dans les créances ayant fait l'objet d'une compensation pour l'acquisition par H______ de différents immeubles et d'une société immobilière appartenant aux deux sœurs. Par cette convention, ce dernier a par ailleurs été libéré des cautionnements. Cette convention a donc bien profité également à M. E______, comme l'a retenu l'autorité intimée, de sorte que rien ne permet d'aboutir à la conclusion, à laquelle aucune substance n'est apportée, qu'il était justifié de faire figurer cette dette au passif de l'entreprise des deux sœurs. La reprise de créance par G______ le 27 décembre 2007 n'apporte aucun éclairage nouveau par rapport à ce qui précède et est au surplus erronée en ce qu'elle affirme libérer les sœurs de leurs engagements envers H______ selon la convention du 30 novembre 1998, engagements qui n'existent pourtant pas à teneur de dite convention. Dans ces circonstances, le TAPI était fondé à constater que la prétendue reprise de dette par les deux sœurs envers leur père de CHF 5'000'000.- ne reposait sur aucune cause valable et que la déductibilité de ce montant et des intérêts y relatifs ne pouvait qu'être refusée. 8) Les recourants soutiennent ensuite que l'autorité intimée devait admettre les frais de liquidation de CHF 932'287.- pour déterminer le coût de construction des immeubles de la route K______ et, donc, le bénéfice de ventes effectuées entre 2011 et 2013 ainsi que fixer la valeur de ceux-ci pour les années fiscale 2010 à 2015. a. Sont notamment soumis à l’impôt sur la fortune les immeubles (art. 47 let. a LIPP). L'état de la fortune mobilière et immobilière est établi au 31 décembre de l'année pour laquelle l'impôt est dû (art. 49 al. 1 LIPP ; art. 17 al. 1 LHID). La fortune est estimée, en général, à la valeur vénale (art.  49 al. 2 LIPP ; art. 14 al. 1 LHID). Tout propriétaire qui fait construire un bâtiment nouveau ou qui, par des travaux quelconques, augmente la valeur d'un bâtiment ou d'une propriété, est tenu de faire au département,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 b. Sont imposables tous les revenus provenant de l'exploitation d'une entreprise commerciale, industrielle, artisanale, agricole ou sylvicole, et de l'exercice d'une profession libérale ou de toute autre activité lucrative indépendante (art. 19 al. 1 1 ère phr. LIPP ; art. 7 al. 1 LHID).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(art. 19 al. 2 LIPP ; art. 8 al.  1 LHID). c. En l'espèce, l'autorité intimée a indiqué que tous les éléments du coût de construction des immeubles aux 4 à 14, 16-18, 26-28 et 44 à 54, route K______ avaient été justifiés par pièces, de sorte qu'ils avaient été admis, à l'exception du montant de CHF 932'287.-, diminuant la valeur comptable de ces immeubles de 2010 à 2015 et augmentant les plus-values enregistrées lors des ventes immobilières survenue dans ces immeubles en 2011, 2012 et 2013. Les recourants affirment que ce montant correspondrait aux frais de liquidation de la SI et devrait être inclus dans le coût de construction. Pour appuyer leur position, ils ont produit des plans financiers adressés à la direction générale du logement sur lesquels figurent lesdits frais de liquidation, ce qui constitue selon eux une preuve suffisante du paiement du montant de CHF 932'287.-. S'agissant d'un élément diminuant leur charge fiscale, il appartenait aux recourants d'établir les coûts de construction par pièces. Or, les plans financiers sont des documents établis spécifiquement à l'attention de la direction générale du logement, autorité qui applique une autre législation, à son propre domaine de compétence lequel n'inclut pas le volet fiscal et dont les décisions ne lient aucunement les autorités fiscales. Le fait qu'elle ait admis les plans financiers soumis ne revêt ainsi aucune pertinence dans le cadre du présent litige. Il revenait aux recourants d'établir que le montant de CHF 932'287.- devait être inclus dans les coûts de construction par d'autres moyens que les plans financiers, ce qu'ils n'ont pas fait. L'AFC-GE était par conséquent fondée à considérer que des coûts de CHF 932'287.- n'étaient pas établis et à effectuer les reprises découlant de la diminution du coût de construction de ce montant, dont la quotité n'est en tant que telle pas contestée, et le TAPI était fondé à confirmer lesdites reprises. 9) Les recourants affirment finalement que la reprise liée au remboursement de CHF 153'192.- par la locataire de la rue M______ effectuée par l'autorité intimée pour l'ICC 2010 ne serait pas justifiée. a. La détermination du bénéfice net imposable pour les contribuables tenant une comptabilité en bonne et due forme s'effectue selon les règles applicables aux personnes morales. Les dispositions de la LIPP relatives aux frais et dépenses non déductibles demeurent réservées (art. 19 al. 4 LIPP). Les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sont considérés comme bénéfice net imposable (art. 12 al. 1 let. j de la loi sur l’imposition des personnes morales du 23 septembre 1994 - LIPM - D 3 15). b. En l'espèce, il n'est pas contesté que cette reprise correspond au remboursement du coût des travaux d'aménagement de CHF 1'531'940.- sur dix ans convenu lors de la conclusion du bail avec la locataire en 2000, correspondant à un montant annuel de CHF 153'194.-. S'agissant de l'année 2010, l'autorité intimée a constaté que le montant perçu durant cette année-là, de CHF 153'192.-, avait été comptabilisé dans les comptes de la société simple comme apport au crédit du compte courant actionnaire sans influence sur le résultat. En effet, les mensualités avaient tout d'abord été portées au débit du compte n o 1______ (O______) et au crédit du compte n o 2______ (P______), puis, en fin d'année, un montant global de CHF 153'192.- avait été débité du compte n o 2______ (P______) et crédité du compte n o 3______ (P______) avec le libellé « Rbt pmt 2010 ref Q______ ». Or, sauf à considérer que les travaux n'aient pas été activés puis amortis au gré des ventes ou de manière volontaire, ce montant avait eu un impact sur le résultat de la société simple et aurait dû être comptabilisé comme un produit exceptionnel, s'agissant de remboursements de charges. Les recourants se contentent sur ce point d'affirmer que la comptabilisation a été faite conformément au décompte de gérance, sans critiquer précisément le raisonnement de l'autorité intimée. En particulier, ils ne contestent pas que ce montant a été comptabilisé comme apport au compte crédit du compte courant actionnaire, sans influence sur le résultat, et n'expliquent pas pourquoi l'autorité intimée aurait à tort considéré qu'il aurait eu une influence sur le résultat. Or, s'agissant de remboursement de charges, ce montant aurait dû être comptabilisé comme produit affectant le résultat, les recourants n'ayant au surplus jamais allégué que les travaux n'auraient pas été activés au bilan puis amortis, ce qui ne ressort pas non plus du dossier. Par conséquent, l'autorité intimée était fondée à effectuer et l'instance précédente à confirmer la reprise liée à la rue M______. Dans ces circonstances, le recours, entièrement mal fondé, sera rejeté. 10) Vu l'issue du litige, un émolument de CHF 3'000.- sera mis à la charge des recourants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