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A/946/2022 vom 3. November 2022</w:t>
      </w:r>
    </w:p>
    <w:p>
      <w:r>
        <w:t>GE Cour de justice, 2022-11-03, FR</w:t>
      </w:r>
    </w:p>
    <w:p>
      <w:r>
        <w:rPr>
          <w:b/>
        </w:rPr>
        <w:t xml:space="preserve">Quelle: </w:t>
      </w:r>
      <w:r>
        <w:t>https://mcp.opencaselaw.ch/entscheid/ge_gerichte_A_946_2022</w:t>
      </w:r>
    </w:p>
    <w:p>
      <w:r>
        <w:t>FR: GE_GERICHTE A/946/2022 du 3 novembre 2022</w:t>
      </w:r>
    </w:p>
    <w:p>
      <w:r>
        <w:t>IT: GE_GERICHTE A/946/2022 del 3 novembre 2022</w:t>
      </w:r>
    </w:p>
    <w:p>
      <w:pPr>
        <w:pStyle w:val="Heading2"/>
      </w:pPr>
      <w:r>
        <w:t>Erwägungen</w:t>
      </w:r>
    </w:p>
    <w:p>
      <w:r>
        <w:rPr>
          <w:b/>
        </w:rPr>
        <w:t>E. 3</w:t>
      </w:r>
    </w:p>
    <w:p>
      <w:r>
        <w:t>Le 1 er janvier 2021 est entrée en vigueur la modification du 21 juin 2019 de la LPGA. Dans la mesure où le recours a été interjeté postérieurement au 1 er janvier 2021, il est soumis au nouveau droit (cf. art. 82a a contrario LPGA).![endif]&gt;![if&gt;</w:t>
      </w:r>
    </w:p>
    <w:p>
      <w:r>
        <w:rPr>
          <w:b/>
        </w:rPr>
        <w:t>E. 4</w:t>
      </w:r>
    </w:p>
    <w:p>
      <w:r>
        <w:t>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le droit éventuel à une rente est né avant le 31 décembre 2021, de sorte que le droit ancien est applicable. Les dispositions légales seront dès lors citées dans leur ancienne teneur.</w:t>
      </w:r>
    </w:p>
    <w:p>
      <w:r>
        <w:rPr>
          <w:b/>
        </w:rPr>
        <w:t>E. 5</w:t>
      </w:r>
    </w:p>
    <w:p>
      <w:r>
        <w:t>Interjeté dans la forme et le délai prévus par la loi, le recours est recevable (art. 56 LPGA; art. 62 al. 1 de la loi sur la procédure administrative du 12 septembre 1985 [LPA - E 5 10]). ![endif]&gt;![if&gt;</w:t>
      </w:r>
    </w:p>
    <w:p>
      <w:r>
        <w:rPr>
          <w:b/>
        </w:rPr>
        <w:t>E. 6</w:t>
      </w:r>
    </w:p>
    <w:p>
      <w:r>
        <w:t>Le litige porte sur le droit du recourant à des prestations de l’assurance-invalidité.![endif]&gt;![if&gt;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le 1 er janvier 2008).![endif]&gt;![if&gt;</w:t>
      </w:r>
    </w:p>
    <w:p>
      <w:r>
        <w:rPr>
          <w:b/>
        </w:rPr>
        <w:t>E. 8</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w:t>
      </w:r>
    </w:p>
    <w:p>
      <w:r>
        <w:rPr>
          <w:b/>
        </w:rPr>
        <w:t>E. 10.1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w:t>
      </w:r>
    </w:p>
    <w:p>
      <w:r>
        <w:rPr>
          <w:b/>
        </w:rPr>
        <w:t>E. 10.2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10.3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10.4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11</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l’espèce, le recourant conteste essentiellement les conclusions de l’expertise du W______ qu’il considère peu objectives, notamment en ce qu’elles concluent à une capacité de travail entière dans une activité adaptée.![endif]&gt;![if&gt; La Cour de céans constate cependant que l'expertise pluridisciplinaire du W______ est fondée sur une anamnèse complète et détaillée, intégrant un résumé des pièces pertinentes versées au dossier, mais également les indications subjectives de l'assuré, des examens cliniques complets, ainsi qu'une discussion interdisciplinaire du cas. Elle prend en compte tous les éléments médicaux au dossier, y compris les derniers rapports des différents médecins traitants. En outre, ses conclusions sont motivées et les experts ont confronté leurs propres observations aux diagnostics de leurs confrères, de sorte qu'elle satisfait aux réquisits jurisprudentiels topiques en matière de valeur probante. Pour ce qui est du fond, les diagnostics incapacitants retenus, sont uniquement orthopédiques. Il s’agit d’un status après rupture myotendineuse du tendon d’Achille droit (dès septembre 2016) et d’un status après fracture du scaphoïde carpien droit (dès février 2021). Ces diagnostics sont conformes au dossier médical. Quant aux limitations fonctionnelles admises par les experts – soit, en lien avec la cheville : pas de marche en terrain inégal, pas d’échelle ni d’échafaudage, pas d’escalier de manière itérative, pas de position debout statique ou de marche de plus de 15 minutes ; concernant le poignet : pas de charge et pas d’utilisation de la main droite jusqu’au moment où le cas sera stabilisé – elles sont plus étendues que celles préconisées par les médecins traitants. Elles conduisent d’ailleurs à une conclusion commune à l’ensemble des médecins et experts, soit que la capacité de travail est nulle dans l’activité habituelle de serveur dans l’hôtellerie-restauration. Ces éléments sont convaincants et semblent d’ailleurs admis par le recourant. Celui-ci conteste en revanche le fait, qu’au vu de son état de santé général et notamment sur le plan psychique, une capacité de travail entière lui soit reconnue par les experts dans une autre activité. Il produit ainsi un rapport du 10 novembre 2021 de son psychiatre traitant indiquant que la situation de son patient est devenue compliquée en raison de plusieurs éléments (séparation, perte de logement, problèmes de santé) et qu’il a besoin de soutien et d’accompagnement. Cet aspect aurait été ignoré par les experts qui n’auraient ainsi pas procédé à un réel examen global de la situation. La Cour de céans relève cependant que le volet psychiatrique de l’expertise du W______ et l’intégration de ses conclusions dans le cadre de l’évaluation interdisciplinaire sont convaincants et bien documentés, notamment en ce qu’ils excluent tout diagnostic (y compris non incapacitant) sous l’angle psychique. Le rapport du 10 novembre 2021 du Dr AB______, postérieur à l’expertise, ne suffit pas à remettre en question la valeur probante de celle-ci. Il ne mentionne d’ailleurs aucune atteinte à la santé, aucun diagnostic, ni aucune limitation à la capacité de travail de l’intéressé sous l’angle psychique. Au final, le psychiatre traitant fait état, tout comme le recourant dans ses écritures, d’une situation financière, sociale et personnelle difficile, soit des problématiques étrangères à la situation médicale pertinente sous l’angle de l’assurance-invalidité.</w:t>
      </w:r>
    </w:p>
    <w:p>
      <w:r>
        <w:rPr>
          <w:b/>
        </w:rPr>
        <w:t>E. 14</w:t>
      </w:r>
    </w:p>
    <w:p>
      <w:r>
        <w:t>Au-delà de l’aspect psychique, demeure à examiner si, de manière globale, la reconnaissance d’une capacité de travail entière du recourant dans une activité adaptée est convaincante.![endif]&gt;![if&gt; Concernant tout d’abord la période antérieure à la chute du 28 février 2021, les médecins traitants évaluent tous la capacité de travail du recourant comme nulle dans toute activité depuis septembre 2016 (sous réserve du Dr V______ qui fait état, dans son rapport du 15 mars 2021, d’une capacité de travail de deux à trois heures par jour dans une activité adaptée). Force est cependant de constater qu’aucun d’entre eux ne motive son appréciation, se contentant tout au plus de renvoyer aux douleurs occasionnées lors de marches de plus de 15 minutes ou de maintien de la station debout. Quand bien même les experts ont étendu, à juste titre, les limitations fonctionnelles retenues par les médecins traitants (en y intégrant : pas de marche en terrain inégal, pas d’échelle ni d’échafaudage, pas d’escalier de manière itérative), il est évident qu’il existe encore un nombre significatif d’activités adaptées que le recourant est en mesure d’exercer à plein temps sans perte de rendement. Pour ce qui est ensuite de la partie de l’expertise relative à la fracture du scaphoïde carpien droit, et notamment des limitations fonctionnelles y relatives, la Cour de céans relève qu’elle ne fait pas partie de l’objet du litige et qu’elle ne sera conséquemment pas prise en compte dans l’appréciation de l’éventuelle invalidité. En effet, selon une jurisprudence constante, une aggravation de l'état de santé ne justifie pas, en principe, un nouveau cas d'assurance (arrêt du Tribunal fédéral 9C_592/2015 du 2 mai 2015 consid. 3.2). Toutefois, si les causes de l'invalidité sont matériellement différentes, un nouvel événement assuré survient (arrêts du Tribunal fédéral 8C_93/2017 du 30 mai 2017 consid. 4.2 et 9C_592/2015 , déjà cité, consid 3.2). La jurisprudence a également admis qu'un nouveau cas d'assurance pouvait survenir même si une première atteinte à la santé était toujours présente et causait une incapacité de travail lorsqu'une nouvelle atteinte à la santé totalement distincte apparaissait (cf. arrêt du Tribunal fédéral 9C_697/2015 consid. 5). En l’espèce, la fracture du scaphoïde carpien du 28 février 2021 constitue une nouvelle atteinte à la santé totalement distincte des autres dont souffre le recourant. Elle constitue ainsi un nouveau cas d’assurance ouvrant un nouveau délai d’attente d’un an venu à échéance le 28 février 2022, soit postérieurement à la décision de l’intimé. Il ne fait donc pas partie de l’objet du litige. La Cour de céans relève en outre que les experts font état sur ce point de limitations d’épargne, provisoires, dans un contexte évolutif et « jusqu’au moment où le cas sera stabilisé », de sorte qu’il n’est pas établi que l’atteinte a perduré jusqu’à la fin du délai d’attente. Au vu de ces éléments, il apparaît que l’expertise du W______ sur laquelle l’intimé s’est fondé pour rendre sa décision n'est pas critiquable et emporte la conviction. C’est notamment de manière fondée qu’elle retient chez le recourant, sous réserve de deux périodes transitoires, de deux mois chacune, postérieures aux interventions des 7 septembre et 5 décembre 2019, une pleine capacité de travail dans une activité adaptée aux limitations fonctionnelles suivantes : pas de marche en terrain inégal, pas d’échelle ni d’échafaudage, pas d’escalier de manière itérative, pas de station debout prolongée.</w:t>
      </w:r>
    </w:p>
    <w:p>
      <w:r>
        <w:rPr>
          <w:b/>
        </w:rPr>
        <w:t>E. 15</w:t>
      </w:r>
    </w:p>
    <w:p>
      <w:r>
        <w:t>Reste à examiner l’évaluation du degré d’invalidité par l’intimé. ![endif]&gt;![if&gt;</w:t>
      </w:r>
    </w:p>
    <w:p>
      <w:r>
        <w:rPr>
          <w:b/>
        </w:rPr>
        <w:t>E. 15.1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rPr>
          <w:b/>
        </w:rPr>
        <w:t>E. 15.2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5.2.2).![endif]&gt;![if&gt;</w:t>
      </w:r>
    </w:p>
    <w:p>
      <w:r>
        <w:rPr>
          <w:b/>
        </w:rPr>
        <w:t>E. 15.3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6.3).![endif]&gt;![if&gt;</w:t>
      </w:r>
    </w:p>
    <w:p>
      <w:r>
        <w:rPr>
          <w:b/>
        </w:rPr>
        <w:t>E. 15.4</w:t>
      </w:r>
    </w:p>
    <w:p>
      <w:r>
        <w:t>Lorsque les revenus avec et sans invalidité sont basés sur la même tabelle statistique, il n'est pas nécessaire de les chiffrer précisément, dans la mesure où le taux d'invalidité se confond avec le taux d'incapacité de travail.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(arrêt du Tribunal fédéral 9C_842/2018 du 7 mars 2019 consid. 5.1 et les références).![endif]&gt;![if&gt;</w:t>
      </w:r>
    </w:p>
    <w:p>
      <w:r>
        <w:rPr>
          <w:b/>
        </w:rPr>
        <w:t>E. 15.4.1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4.1ss. et les références). L'étendue de l'abattement justifié dans un cas concret relève du pouvoir d'appréciation (ATF 132 V 393 consid. 3.3).![endif]&gt;![if&gt; Cette évaluation revient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16</w:t>
      </w:r>
    </w:p>
    <w:p>
      <w:r>
        <w:t>En l’espèce, pour ce qui est du revenu sans invalidité, l’intimé expose dans la décision querellée s’être trouvé dans une situation où il était difficile de le déterminer avec précision au vu des gains fluctuants du recourant. Cette affirmation est corroborée par l’extrait du compte individuel AVS de l'intéressé qui fait état de revenus oscillant entre CHF 1'020.- (1995) et CHF 46'950.- (2003), sans qu’il ne soit jamais possible de dégager une quelconque stabilité, ou même une tendance, durant toute la période d’exercice de l’activité lucrative, soit entre 1994 et 2016. Dès lors, c'est à juste titre que l’OAI s’est fondé sur les tabelles statistiques, plus particulièrement la ligne « total activités simples et répétitives, tous secteurs confondus, sans qualification requise, pour un homme exerçant une activité à 100% ».![endif]&gt;![if&gt; S’agissant du revenu avec invalidité, l’intimé s’est basé sur les mêmes données que pour l’évaluation du revenu sans invalidité. Compte tenu de l’éloignement du marché du travail du recourant depuis septembre 2016, cette méthode de comparaison se justifie et le salaire avec et sans invalidité peut ainsi être établi sur la base des salaires statistiques. Le recourant ne critique d’ailleurs pas, à juste titre, la méthode choisie. Il reproche pour l’essentiel à l’intimé de ne pas avoir retenu un abattement sur le revenu d’invalide, du fait des atteintes à la santé dont il souffre et qui affecteraient son rendement. Un tel abattement se justifierait et lui permettrait, au minimum, de bénéficier d’une mesure de reclassement. À cet égard, la Cour de céans rappelle qu’elle doit faire preuve de retenue lorsqu’elle est amenée à examiner l’octroi ou le refus d’un abattement sur le salaire statistique par l’administration. Or, in casu, l’appréciation de l’intimé ne paraît guère critiquable. On ne voit en effet pas en quoi le rendement du recourant serait affecté dans l’exercice d’activités simples et répétitives - dont un marché équilibré du travail offre un nombre significatif (par exemple des tâches de surveillance, d'accueil, de réception, de vérification ou de contrôle) - accessibles sans formation autre qu’une simple mise au courant et respectant les limitations fonctionnelles découlant de l’atteinte au talon d’Achille. C’est ainsi à juste titre que l’intimé n’a procédé à aucun abattement sur le gain d’invalide. En outre, il n'existe pas un droit inconditionnel à obtenir une mesure professionnelle (voir par ex. l'arrêt du Tribunal fédéral 9C_385/2009 du 13 octobre 2009) et il faut démontrer une perte de gain de 20% environ pour se voir ouvrir, en principe, une mesure de reclassement dans une nouvelle profession (ATF 124 V 108 consid. 2b et les arrêts cités). Or, même si, par impossible, il convenait de considérer l’octroi d’un abattement dans le cas d’espèce, celui-ci serait, au vu des circonstances, largement insuffisant pour occasionner une perte de gain de cette ampleur et justifier une mesure de reclassement.</w:t>
      </w:r>
    </w:p>
    <w:p>
      <w:r>
        <w:rPr>
          <w:b/>
        </w:rPr>
        <w:t>E. 17</w:t>
      </w:r>
    </w:p>
    <w:p>
      <w:r>
        <w:t>Au vu de ce qui précède, le recours sera rejeté. Il convient de renoncer à la perception d'un émolument, le recourant étant au bénéfice de l'assistance juridique (art. 69 al. 1bis LAI et 13 al. 1 du règlement sur les frais, émoluments et indemnités en procédure administrative du 30 juillet 1986 [RFPA - E 5 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