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A/945/2009 vom 12. März 2009</w:t>
      </w:r>
    </w:p>
    <w:p>
      <w:r>
        <w:t>GE Cour de justice, 2009-03-12, FR</w:t>
      </w:r>
    </w:p>
    <w:p>
      <w:r>
        <w:rPr>
          <w:b/>
        </w:rPr>
        <w:t xml:space="preserve">Quelle: </w:t>
      </w:r>
      <w:r>
        <w:t>https://mcp.opencaselaw.ch/entscheid/ge_gerichte_A_945_2009</w:t>
      </w:r>
    </w:p>
    <w:p>
      <w:r>
        <w:t>FR: GE_GERICHTE A/945/2009 du 12 mars 2009</w:t>
      </w:r>
    </w:p>
    <w:p>
      <w:r>
        <w:t>IT: GE_GERICHTE A/945/2009 del 12 marzo 2009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17.06.2009 A/945/2009</w:t>
      </w:r>
    </w:p>
    <w:p>
      <w:r>
        <w:t>A/945/2009 ATAS/755/2009 du 17.06.2009 ( AI ) , RETIRE Par ces motifs RÉPUBLIQUE ET CANTON DE GENÈVE POUVOIR JUDICIAIRE A/945/2009 ATAS/755/2009 ARRET DU TRIBUNAL CANTONAL DES ASSURANCES SOCIALES Chambre 5 du 17 juin 2009 En la cause Monsieur B__________, domicilié au Lignon recourant contre OFFICE CANTONAL DE L'ASSURANCE-INVALIDITE, sis rue de Lyon 97, Genève intimé Vu la décision du 12 mars 2009 de l'Office cantonal de l'assurance-invalidité octroyant une rente d'invalidité entière à M. B__________; Vu le recours de l'assuré du 19 mars 2009; Vu sa lettre du 4 juin 2009, par laquelle il retire son recours; PAR CES MOTIFS, LE TRIBUNAL CANTONAL DES ASSURANCES SOCIALES Prend acte du retrait du recours. Raye la cause du rôle. Dit que la procédure est gratuite. La greffière : Claire CHAVANNES La Présidente :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