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A/944/2024 vom 23. Mai 2024</w:t>
      </w:r>
    </w:p>
    <w:p>
      <w:r>
        <w:t>GE Cour de justice, 2024-05-23, FR</w:t>
      </w:r>
    </w:p>
    <w:p>
      <w:r>
        <w:rPr>
          <w:b/>
        </w:rPr>
        <w:t xml:space="preserve">Quelle: </w:t>
      </w:r>
      <w:r>
        <w:t>https://mcp.opencaselaw.ch/entscheid/ge_gerichte_A_944_2024</w:t>
      </w:r>
    </w:p>
    <w:p>
      <w:r>
        <w:t>FR: GE_GERICHTE A/944/2024 du 23 mai 2024</w:t>
      </w:r>
    </w:p>
    <w:p>
      <w:r>
        <w:t>IT: GE_GERICHTE A/944/2024 del 23 maggio 2024</w:t>
      </w:r>
    </w:p>
    <w:p>
      <w:pPr>
        <w:pStyle w:val="Heading2"/>
      </w:pPr>
      <w:r>
        <w:t>Erwägungen</w:t>
      </w:r>
    </w:p>
    <w:p>
      <w:r>
        <w:rPr>
          <w:b/>
        </w:rPr>
        <w:t>E. 7</w:t>
      </w:r>
    </w:p>
    <w:p>
      <w:r>
        <w:t>Eu égard à ce qui précède, le recours est partiellement admis. Les décisions des 24 mars 2023 et 28 février 2024 (décision sur opposition) de l’intimée sont réformées, en ce sens que les retenues sur rentes effectuées à partir d’avril 2023 sont réduites à CHF 490.- par mois au maximum. L’intimée est en outre condamnée à restituer au recourant l’excédent perçu indûment chaque mois où les saisies ont été effectuées. Le recourant obtenant partiellement gain de cause, l'intimée lui versera un montant de CHF 2'000.- à titre de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