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A/944/2023 vom 14. November 2023</w:t>
      </w:r>
    </w:p>
    <w:p>
      <w:r>
        <w:t>GE Cour de justice, 2023-11-14, FR</w:t>
      </w:r>
    </w:p>
    <w:p>
      <w:r>
        <w:rPr>
          <w:b/>
        </w:rPr>
        <w:t xml:space="preserve">Quelle: </w:t>
      </w:r>
      <w:r>
        <w:t>https://mcp.opencaselaw.ch/entscheid/ge_gerichte_A_944_2023</w:t>
      </w:r>
    </w:p>
    <w:p>
      <w:r>
        <w:t>FR: GE_GERICHTE A/944/2023 du 14 novembre 2023</w:t>
      </w:r>
    </w:p>
    <w:p>
      <w:r>
        <w:t>IT: GE_GERICHTE A/944/2023 del 14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b de la loi sur la procédure administrative du 12 septembre 1985 - LPA - E 5 10).![endif]&gt;![if&gt;</w:t>
      </w:r>
    </w:p>
    <w:p>
      <w:r>
        <w:rPr>
          <w:b/>
        </w:rPr>
        <w:t>E. 2</w:t>
      </w:r>
    </w:p>
    <w:p>
      <w:r>
        <w:t>Le recourant sollicite l’audition de son ex-épouse.![endif]&gt;![if&gt;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recourant s’est vu offrir l’occasion de s’exprimer, de faire valoir ses arguments et de produire toute pièce utile à plusieurs reprises devant l’OCPM, le TAPI puis la chambre de céans. Le dossier comporte tous les éléments utiles pour trancher la cause, en particulier la position de l’ex-épouse du recourant quant à la durée de leur cohabitation en Suisse depuis l’arrivée du recourant le 30 janvier 2016. Il n’est donc pas nécessaire de procéder à l’audition de cette dernière. Il ne sera pas donné suite à cette demande d’acte d’instruction.</w:t>
      </w:r>
    </w:p>
    <w:p>
      <w:r>
        <w:rPr>
          <w:b/>
        </w:rPr>
        <w:t>E. 3</w:t>
      </w:r>
    </w:p>
    <w:p>
      <w:r>
        <w:t>Le litige porte sur la conformité au droit du refus de prolonger l'autorisation de séjour du recourant et du prononcé de son renvoi de Suisse.![endif]&gt;![if&gt;</w:t>
      </w:r>
    </w:p>
    <w:p>
      <w:r>
        <w:rPr>
          <w:b/>
        </w:rPr>
        <w:t>E. 3.1</w:t>
      </w:r>
    </w:p>
    <w:p>
      <w:r>
        <w:t>Le 1 er janvier 2019, est entrée en vigueur une modification de la loi fédérale sur les étrangers du 16 décembre 2005 (LEtr), devenue la LEI, étant précisé que la plupart des dispositions de la LEI sont demeurées identiques.</w:t>
      </w:r>
    </w:p>
    <w:p>
      <w:r>
        <w:rPr>
          <w:b/>
        </w:rPr>
        <w:t>E. 3.2</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Tunisie.</w:t>
      </w:r>
    </w:p>
    <w:p>
      <w:r>
        <w:rPr>
          <w:b/>
        </w:rPr>
        <w:t>E. 3.3</w:t>
      </w:r>
    </w:p>
    <w:p>
      <w:r>
        <w:t>Aux termes de l'art. 42 al. 1 LEI, le conjoint d’un ressortissant suisse ainsi que ses enfants célibataires de moins de 18 ans ont droit à l’octroi d’une autorisation de séjour et à la prolongation de sa durée de validité à condition de vivre en ménage commun avec lui. Compte tenu de la séparation du couple, les dispositions relatives à la dissolution de la famille s'appliquent à la situation juridique actuelle du recourant (art. 50 LEI et ss).</w:t>
      </w:r>
    </w:p>
    <w:p>
      <w:r>
        <w:rPr>
          <w:b/>
        </w:rPr>
        <w:t>E. 3.4</w:t>
      </w:r>
    </w:p>
    <w:p>
      <w:r>
        <w:t>Selon l'art. 50 al. 1 let. a LEI, après dissolution de la famille, le droit du conjoint à l'octroi d'une autorisation de séjour et à la prolongation de sa durée de validité en vertu notamment de l'art. 42 LEI subsiste lorsque l'union conjugale a duré au moins 3 ans et que l'intégration est réussie.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rPr>
          <w:b/>
        </w:rPr>
        <w:t>E. 3.5</w:t>
      </w:r>
    </w:p>
    <w:p>
      <w:r>
        <w:t>Devant la chambre de céans, le recourant se borne à contester une durée d’union conjugale inférieure à trois ans, telle que retenue par l’autorité intimée et le TAPI, « quasi » arbitrairement. Il ne saurait être suivi. Il ressort en effet expressément des courriers de son ex-épouse à l’OCPM des 3 août 2018 et 7 mars 2022, qu’aucun élément tangible ne permet de remettre en cause, que celle-ci a quitté l’appartement conjugal le 28 juillet 2018. Le 1 er octobre 2018, elle a initié en Tunisie une procédure de divorce, ce qui ressort du jugement de divorce du 9 novembre 2020 et n’est pas remis en cause par le recourant. L’ex-épouse du recourant a par ailleurs annoncé une séparation datant de presque un an dans sa demande en divorce, ce qui concorde avec la période annoncée à l’OCPM dans son courrier du 7 mars 2022, à savoir depuis novembre 2017. En tout état, à teneur des éléments figurant à la procédure, la communauté de vie du couple s’est terminée au plus tard à la fin du mois de juillet 2018, par le départ de l’ex-épouse du logement commun. Le voyage en Turquie quelques mois plus tôt est sans pertinence sur l’issue du litige. Dans ces conditions, le recourant échoue à démontrer que l’union conjugale aurait perduré au-delà du 28 juillet 2018. Il n’a en particulier pu produire aucun document à l’appui de son affirmation selon laquelle tous deux se seraient séparés définitivement depuis le 18 mai 2019 et en particulier que son ex-épouse serait revenue vivre au domicile conjugal entre le 29 juillet 2018 et le 18 mai 2019. Celle‑ci s’est exprimée deux fois sur ce point, de manière invariable, auprès de l’OCPM. Ainsi, les ex-époux ont cohabité moins de trois ans depuis l’arrivée en Suisse du recourant le 30 janvier 2016. Ce grief sera rejeté et il n'est donc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rPr>
          <w:b/>
        </w:rPr>
        <w:t>E. 4.1</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rPr>
          <w:b/>
        </w:rPr>
        <w:t>E. 4.2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rPr>
          <w:b/>
        </w:rPr>
        <w:t>E. 4.3</w:t>
      </w:r>
    </w:p>
    <w:p>
      <w:r>
        <w:t>Comme déjà relevé, le recourant ne se prévaut pas au stade du recours de raisons personnelles majeures qui commanderaient de l’autoriser à poursuivre son séjour en Suisse. Il peut partant sans autre être renvoyé au considérant 14 du jugement attaqué, repris ci-dessus sous let. C.c, le TAPI ayant abordé tous les éléments pertinents de la situation personnelle du recourant pour conclure qu’il n’en existe pas.</w:t>
      </w:r>
    </w:p>
    <w:p>
      <w:r>
        <w:rPr>
          <w:b/>
        </w:rPr>
        <w:t>E. 5</w:t>
      </w:r>
    </w:p>
    <w:p>
      <w:r>
        <w:t>5.1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Dans la mesure où le refus de renouvellement d’une autorisation de séjour est confirmé, le renvoi du recourant doit aussi l’être, étant relevé que celui-ci ne soutient pas que son exécution ne serait pas possible, licite ou raisonnablement exigible. Mal fondé, le recours sera rejeté.</w:t>
      </w:r>
    </w:p>
    <w:p>
      <w:r>
        <w:rPr>
          <w:b/>
        </w:rPr>
        <w:t>E. 6</w:t>
      </w:r>
    </w:p>
    <w:p>
      <w:r>
        <w:t>Vu l’issue du recours, un émolument de CHF 400.-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