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A/943/2024 vom 18. Dezember 2024</w:t>
      </w:r>
    </w:p>
    <w:p>
      <w:r>
        <w:t>GE Cour de justice, 2024-12-18, FR</w:t>
      </w:r>
    </w:p>
    <w:p>
      <w:r>
        <w:rPr>
          <w:b/>
        </w:rPr>
        <w:t xml:space="preserve">Quelle: </w:t>
      </w:r>
      <w:r>
        <w:t>https://mcp.opencaselaw.ch/entscheid/ge_gerichte_A_943_2024</w:t>
      </w:r>
    </w:p>
    <w:p>
      <w:r>
        <w:t>FR: GE_GERICHTE A/943/2024 du 18 décembre 2024</w:t>
      </w:r>
    </w:p>
    <w:p>
      <w:r>
        <w:t>IT: GE_GERICHTE A/943/2024 del 18 dicembre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été domiciliée dans le canton de Genève depuis le 15 mai 2018 et jusqu'au moment de sa faillite, la chambre de céans est également compétente ratione loci .</w:t>
      </w:r>
    </w:p>
    <w:p>
      <w:r>
        <w:rPr>
          <w:b/>
        </w:rPr>
        <w:t>E. 1.3</w:t>
      </w:r>
    </w:p>
    <w:p>
      <w:r>
        <w:t>À teneur de l'art. 1 al. 1 LAVS, les dispositions de la LPGA s'appliquent aux art. 1 à 97 LAVS, à moins que la loi n'y déroge expressément. Le 1 er janvier 2021 est entrée en vigueur la modification du 21 juin 2019 de la LPGA. Dans la mesure où le recours a été interjeté postérieurement au 1 er janvier 2021, il est soumis au nouveau droit ( cf. art. 82a LPGA a contrario ).</w:t>
      </w:r>
    </w:p>
    <w:p>
      <w:r>
        <w:rPr>
          <w:b/>
        </w:rPr>
        <w:t>E. 1.4</w:t>
      </w:r>
    </w:p>
    <w:p>
      <w:r>
        <w:t>Le délai de recours est de trente jours (art. 56 LPGA ; art. 62 al. 1 de la loi sur la procédure administrative du 12 septembre 1985 [LPA - E 5 10]). Selon l'art. 11 LPA, l'autorité examine d'office sa compétence (al. 2). Si elle décline sa compétence, elle transmet d'office l'affaire à l'autorité compétente et en avise les parties (al. 3). Cette disposition vise aussi bien les autorités au sens de l'art. 5 LPA (autorités administratives) que les juridictions administratives au sens de l'art. 6 LPA (Stéphane GRODECKI / Romain JORDAN, Code annoté de procédure administrative genevoise, 2017 n° 181). En vertu de l'art. 17 al. 5 LPA, les délais sont réputés observés lorsqu'une partie s'adresse par erreur en temps utile à une autorité incompétente. Ces dispositions sont applicables aussi bien à la procédure contentieuse que non-contentieuse ( cf. art. 76 LPA ; GRODECKI / JORDAN, op. cit ., n° 938). En l'espèce, le recourant a envoyé à l'intimée un courrier le 7 février 2024, par lequel il indiquait faire opposition contre la décision sur opposition du 26 janvier 2024. Bien qu'il ne le dise pas expressément, on comprend clairement qu'il entendait recourir contre cette décision, ce qu'il a confirmé d'ailleurs par courrier du 13 mars 2024. Le courrier du 7 février 2024 doit ainsi être considéré comme un acte de recours. Or, dès lors que l'intimée est une autorité administrative saisie à l'occasion d'un litige en matière d'assurances sociales, elle aurait dû transmettre d'office ce courrier à la chambre de céans. Bien qu'elle ne l'ait pas fait, il faut considérer que le recours a été interjeté le 7 février 2024, donc dans le délai de 30 jours, même si l'autorité réceptrice était incompétente, ce qui résulte également de l'application de l'art. 17 al. 5 LPA. Aussi, interjeté dans les formes et délai prévus par la loi, le recours sera déclaré recevable.</w:t>
      </w:r>
    </w:p>
    <w:p>
      <w:r>
        <w:rPr>
          <w:b/>
        </w:rPr>
        <w:t>E. 2</w:t>
      </w:r>
    </w:p>
    <w:p>
      <w:r>
        <w:t>Le litige porte sur la responsabilité du recourant dans le préjudice causé à l'intimée, par défaut de paiement des cotisations sociales (AVS-AI-APG et AC, ainsi que Amat et AF) entre le 1 er janvier et le 30 juin 2019.</w:t>
      </w:r>
    </w:p>
    <w:p>
      <w:r>
        <w:rPr>
          <w:b/>
        </w:rPr>
        <w:t>E. 3.1</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 cf . Message relatif à la modification de la LAVS du 3 décembre 2010, FF 2011 519, p. 536 à 538). Sur le plan matériel, sont en principe applicables les règles de droit en vigueur au moment où les faits juridiquement déterminants se sont produits (ATF 129 V 1 consid. 1 ; 127 V 467 consid. 1 et les références). En l’espèce, les montants litigieux concernent l'année 2019, de sorte que l’art. 52 al. 1 LAVS est applicable dans sa teneur en vigueur au 1 er janvier 2012 (arrêt du Tribunal fédéral 9C_80/2017 du 31 mai 2017 consid. 3.2).</w:t>
      </w:r>
    </w:p>
    <w:p>
      <w:r>
        <w:rPr>
          <w:b/>
        </w:rPr>
        <w:t>E. 3.2</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4.1</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Les délais prévus par l'art. 52 al. 3 LAVS doivent être qualifiés de délais de prescription et non plus de péremption, de sorte qu'ils ne sont plus sauvegardés une fois pour toutes avec la décision relative aux dommages-intérêts. Le droit à la réparation du dommage au sens de l'art. 52 al. 1 LAVS peut donc aussi se prescrire durant la procédure d'opposition (ATF 135 V 74 consid. 4.2). Il appartient au responsable recherché de faire valoir la prescription par voie d’exception et le juge ne peut pas la relever d’office (ATF 129 V 237 consid. 4 ; Franz WERRO / Vincent PERRITAZ in Commentaire romand du Code des obligations I, 2021, n° 3 ad art. 60 CO).</w:t>
      </w:r>
    </w:p>
    <w:p>
      <w:r>
        <w:rPr>
          <w:b/>
        </w:rPr>
        <w:t>E. 4.2</w:t>
      </w:r>
    </w:p>
    <w:p>
      <w:r>
        <w:t>En l'espèce, le recourant ne conteste pas que la demande en réparation du dommage a été introduite en temps utile. Il apparaît au demeurant que les délais de prescription relatif et absolu ont été interrompus avant d'être échus, par les décisions des 15 et 26 janvier 2024, et ne couvrent pas la présente procédure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w:t>
      </w:r>
    </w:p>
    <w:p>
      <w:r>
        <w:rPr>
          <w:b/>
        </w:rPr>
        <w:t>E. 5</w:t>
      </w:r>
    </w:p>
    <w:p>
      <w:r>
        <w:t>Il convient à présent d’examiner si les autres conditions de la responsabilité de l’art. 52 LAVS sont réalisées, à savoir si le recourant peut être considérée comme étant tenu de verser les cotisations à l’intimée et, dans l'affirmative, si il a commis une faute ou une négligence grave et s’il existe un lien de causalité adéquate entre son comportement et le dommage causé à l’intimée.</w:t>
      </w:r>
    </w:p>
    <w:p>
      <w:r>
        <w:rPr>
          <w:b/>
        </w:rPr>
        <w:t>E. 5.1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H 252/01 du 14 mai 2002 consid. 3b et consid. 3d, in VSI 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En l'espèce, le recourant était inscrit au RC en qualité d'associé gérant du 15 mai 2018 au 11 septembre 2019, avec signature individuelle. Il disposait donc indéniablement de la qualité d'organe de la société et, à ce titre, peut être recherché par l'intimée pour le non-paiement des cotisations litigieuses.</w:t>
      </w:r>
    </w:p>
    <w:p>
      <w:r>
        <w:rPr>
          <w:b/>
        </w:rPr>
        <w:t>E. 5.2</w:t>
      </w:r>
    </w:p>
    <w:p>
      <w:r>
        <w:t>Le recourant revêtant la qualité d'organe formel,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 En l'espèce, le recourant ne fait pas valoir d'argument permettant de contester qu'il a commis une faute ou une négligence grave en ne s'assurant pas que les cotisations sociales prévues par la loi étaient réglées. En sa qualité de gérant, il lui incombait de veiller personnellement à ce que les cotisations paritaires afférentes aux salaires versés fussent effectivement payées à la caisse de compensation, nonobstant le mode de répartition interne des tâches au sein la société. Ce d'autant plus que durant la période en cause, il était seul gérant de la société, avec signature individuelle. Le simple fait d'avoir vendu la société ne le décharge pas de cette responsabilité. En effet, au moment de la vente, il aurait dû s'assurer avec des garanties solides que les cotisations sociales échues seraient effectivement acquittées, ce qu'il n'allègue pas avoir fait. Il sera également rappelé que la jurisprudence admet largement la réalisation d'une faute ou d'une négligence grave dans les cas où l'organe verse des salaires pour lesquels les créances de cotisations sociales ne sont pas couvertes.</w:t>
      </w:r>
    </w:p>
    <w:p>
      <w:r>
        <w:rPr>
          <w:b/>
        </w:rPr>
        <w:t>E. 5.3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l'espèce, la passiveté du recourant est en relation de causalité naturelle et adéquate avec le dommage subi par l'intimée, dès lors que, s'il avait correctement exécuté son mandat de gérant, il aurait pu veiller au paiement des cotisations aux assurances sociales. Son comportement a donc favorisé la survenance du préjudice.</w:t>
      </w:r>
    </w:p>
    <w:p>
      <w:r>
        <w:rPr>
          <w:b/>
        </w:rPr>
        <w:t>E. 5.4</w:t>
      </w:r>
    </w:p>
    <w:p>
      <w:r>
        <w:t>S’agissant de la quotité du dommage allégué par l’intimée,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(Office fédéral des assurances sociales, Directives sur la perception des cotisations [DP], état au 1 er janvier 2023, n° 8017 ; ATF 121 III 382 consid. 3/bb).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La créance en réparation du dommage fondée sur une décision de paiement rétroactif entrée en force n’est examinée, dans la procédure selon l’art. 52 LAVS, que s’il y a des éléments pour conclure à une inexactitude évidente des montants fixés (RCC 1991 p. 132). La possibilité pour la société de recourir contre la décision (sur opposition) de cotisations arriérées garantit en effet de manière suffisante que les organes de l'employeur devenu insolvable ne soient pas confrontés à des créances en réparation injustifiées (arrêts du Tribunal fédéral 9C_381/2018 du 6 décembre 2018 consid. 4.1 et 9C_651/2012 du 15 mai 2013 consid. 4.1 et les références). Si la décision de cotisations arriérées est notifiée à une époque postérieure à l’ouverture de la faillite, la possibilité de réexaminer la créance en réparation du dommage quant à son montant reste garantie (VSI 1993 p. 180). De même, une décision de cotisations peut être librement réexaminée dans le cadre de la procédure en réparation du dommage lorsque la personne mise en cause n’était plus organe de l’employeur au moment où la décision a été rendue (ATF 134 V 401 ). En l’occurrence, selon les indications de l’extrait du RC le recourant a cessé d’être un organe de la société le 11 septembre 2019. À teneur des pièces produites par l’intimée, la décision concernant les cotisations impayées pour 2019 date du 25 février 2020. Elle a donc été rendue après le départ du recourant, qui n’avait pas la possibilité de la contester. Partant, elle peut être librement revue par la chambre de céans, étant précisé que le recourant ne conteste néanmoins pas ce montant et que celui-ci semble correct, à tout le moins n'apparait pas manifestement inexact. À teneur des pièces communiquées et en l’absence de toute contestation motivée du recourant, la chambre de céans ne saurait s'écarter du montant du dommage tel que calculé par l'intimée. Cela étant, comme l'a retenu la chambre de céans dans un arrêt de principe ( ATAS/779/2020 ), jusqu'au 31 janvier 2023, il n'existait pas de base légale suffisante pour rechercher un employeur ou ses organes pour le dommage résultant du défaut de paiement des cotisations dues en vertu de la LAMat. Or il apparaît que la demande de réparation du dommage et les factures de cotisations sur lesquelles elle se fonde contiennent des montants dus au titre de la LAMat. Compte tenu du fait que l’art. 11A LAMat entré en vigueur le 1 er février 2023 n’a pas d’effet rétroactif, les cotisations LAMat impayées doivent être exclues de la quotité du dommage dont le paiement est réclamé, ainsi que les intérêts et frais y relatifs.</w:t>
      </w:r>
    </w:p>
    <w:p>
      <w:r>
        <w:rPr>
          <w:b/>
        </w:rPr>
        <w:t>E. 6.1</w:t>
      </w:r>
    </w:p>
    <w:p>
      <w:r>
        <w:t>Eu égard à ce qui précède, le recours est très partiellement admis. La décision sur opposition du 26 janvier 2024 est annulée et la cause est renvoyée à l'intimée, afin qu'elle procède à un nouveau calcul du dommage excluant les cotisations impayées fondées sur la LAMat, ainsi que les intérêts de retard et éventuels autres frais y afférents.</w:t>
      </w:r>
    </w:p>
    <w:p>
      <w:r>
        <w:rPr>
          <w:b/>
        </w:rPr>
        <w:t>E. 6.2</w:t>
      </w:r>
    </w:p>
    <w:p>
      <w:r>
        <w:t>Le recourant, qui obtient très partiellement gain de cause, n’est pas représenté et n'a pas fait valoir de frais engendrés par la présente procédure. Il n'a ainsi pas droit à des dépens, suivant la pratique constante de la chambre de céans ( ATAS/595/2022 du 9 juin 2022 consid. 9 [arrêt de principe] ; ATAS/1320/2021 du 16 décembre 2021 consid. 9 [arrêt de principe] ; ATAS/177/2021 du 4 mars 2021 consid. 11 [arrêt de principe] ; ATAS/1001/2022 du 11 novembre 2022 consid. 11).</w:t>
      </w:r>
    </w:p>
    <w:p>
      <w:r>
        <w:rPr>
          <w:b/>
        </w:rPr>
        <w:t>E. 6.3</w:t>
      </w:r>
    </w:p>
    <w:p>
      <w:r>
        <w:t>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