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A/942/2015 vom 29. April 2015</w:t>
      </w:r>
    </w:p>
    <w:p>
      <w:r>
        <w:t>GE Cour de justice, 2015-04-29, FR</w:t>
      </w:r>
    </w:p>
    <w:p>
      <w:r>
        <w:rPr>
          <w:b/>
        </w:rPr>
        <w:t xml:space="preserve">Quelle: </w:t>
      </w:r>
      <w:r>
        <w:t>https://mcp.opencaselaw.ch/entscheid/ge_gerichte_A_942_2015</w:t>
      </w:r>
    </w:p>
    <w:p>
      <w:r>
        <w:t>FR: GE_GERICHTE A/942/2015 du 29 avril 2015</w:t>
      </w:r>
    </w:p>
    <w:p>
      <w:r>
        <w:t>IT: GE_GERICHTE A/942/2015 del 29 aprile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29.04.2015 A/942/2015</w:t>
      </w:r>
    </w:p>
    <w:p>
      <w:r>
        <w:t>A/942/2015 ATAS/316/2015 du 29.04.2015 ( AI ) , SANS OBJET RÉPUBLIQUE ET CANTON DE GENÈVE POUVOIR JUDICIAIRE A/942/2015 ATAS/316/2015 COUR DE JUSTICE Chambre des assurances sociales Arrêt du 29 avril 2015 4 ème Chambre En la cause Madame A______, domiciliée au GRAND-LANCY, comparant avec élection de domicile en l'étude de Maître Diane BROTO recourante contre OFFICE DE L'ASSURANCE-INVALIDITE DU CANTON DE GENEVE, sis Rue des Gares 12, GENÈVE intimé Vu la décision de refus de prestations du 16 février 2015 rendue par l’office de l’assurance-invalidité du canton de Genève (ci-après OAI) à l’encontre de Madame A______ (ci-après l’assurée ou la recourante) ; Vu le recours interjeté le 19 mars 2015 par l’assurée, par l’intermédiaire de son conseil ; Vu l’écriture du 16 avril 2015 du conseil de la recourante indiquant que la décision du 16 février 2015 ayant été en son temps annulée par l’OAI, le recours apparaît à ce jour sans objet et la cause peut être rayée du rôle ; PAR CES MOTIFS, LA CHAMBRE DES ASSURANCES SOCIALES : 1.        Constate que le recours est devenu sans objet.![endif]&gt;![if&gt; 2.        Raye la cause du rôle.![endif]&gt;![if&gt; La greffière Isabelle CASTILLO La présidente Juliana BALDÉ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