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A/941/2014 vom 29. Juli 2014</w:t>
      </w:r>
    </w:p>
    <w:p>
      <w:r>
        <w:t>GE Cour de justice, 2014-07-29, FR</w:t>
      </w:r>
    </w:p>
    <w:p>
      <w:r>
        <w:rPr>
          <w:b/>
        </w:rPr>
        <w:t xml:space="preserve">Quelle: </w:t>
      </w:r>
      <w:r>
        <w:t>https://mcp.opencaselaw.ch/entscheid/ge_gerichte_A_941_2014</w:t>
      </w:r>
    </w:p>
    <w:p>
      <w:r>
        <w:t>FR: GE_GERICHTE A/941/2014 du 29 juillet 2014</w:t>
      </w:r>
    </w:p>
    <w:p>
      <w:r>
        <w:t>IT: GE_GERICHTE A/941/2014 del 29 luglio 2014</w:t>
      </w:r>
    </w:p>
    <w:p>
      <w:pPr>
        <w:pStyle w:val="Heading2"/>
      </w:pPr>
      <w:r>
        <w:t>Erwägungen</w:t>
      </w:r>
    </w:p>
    <w:p>
      <w:r>
        <w:rPr>
          <w:b/>
        </w:rPr>
        <w:t>E. 3</w:t>
      </w:r>
    </w:p>
    <w:p>
      <w:r>
        <w:t>Selon l’art. 35 LaLAT, applicable sur renvois successifs des art. 20 al. 8 LaLAT et 5 al. 11 de la loi sur l’extension des voies de communication et l’aménagement des quartiers ou localités du 9 mars 1929 (LExt - L 1 40), la décision par laquelle le Conseil d’État adopte ce type de plans d’affectation peut faire l’objet d’un recours à la chambre administrative (al. 1). Le délai pour recourir est de trente jours dès la publication de la décision dans la FAO (al. 2). Le recours n’est par ailleurs recevable que si la voie de l’opposition a été préalablement épuisée (al. 4), la LPA étant applicable pour le surplus (al. 5). En l’espèce, le recours a été interjeté en temps utile devant la juridiction alors compétente (art. 56A de la loi sur l’organisation judiciaire du 22 novembre 1941 en vigueur jusqu'au 31 décembre 2010 - aLOJ ; art. 63 al. 1 let. a de la loi sur la procédure administrative du 12 septembre 1985 - LPA - E 5 10 - dans sa teneur au 31 décembre 2010). Il est donc recevable de ce point de vue.</w:t>
      </w:r>
    </w:p>
    <w:p>
      <w:r>
        <w:rPr>
          <w:b/>
        </w:rPr>
        <w:t>E. 4</w:t>
      </w:r>
    </w:p>
    <w:p>
      <w:r>
        <w:t>Les recourants soutiennent que les coopératives ont suivi la voie de l’opposition, agissant alors en étant représentées par M. BISOL. Ils ne peuvent être suivis sur ce point. Une lecture attentive du courrier adressé par M. BISOL au Conseil d’État le 27 août 2013 démontre que ce dernier agissait pour lui-même et en tant que « Conseiller municipal représentant des habitants de notre commune ». Il ne nomme pas d’autre personne, physique ou morale. Lorsqu’une opposition est déposée, les auteurs de l’acte en question doivent être clairement indiqués. Il n’appartient pas à l’autorité saisie d’analyser les actes antérieurs pour déterminer l’auteur de l’acte ou les personnes que cet auteur représente. Ainsi, on ne peut reprocher au Conseil d’État de ne pas avoir déduit des observations faites en commun par les coopératives et M. BISOL - par la plume d’un avocat - lors de l’enquête publique que le dernier nommé pourrait former opposition pour son propre compte et en tant que représentant des coopératives, si cela ne ressort pas du texte de l’opposition. De même, s’il est exact que les observations adressées à l’ancien département de l’urbanisme le 29 juin 2013 dans le cadre d’une demande en autorisation de construire déposée par M. MAGNIN par la Société coopérative d’habitations collectives, indiquaient qu’elle entendait recourir contre le PLA, ce courrier ne peut, en lui-même, être considéré comme constituant une opposition au PLA, lequel n’avait pas encore été adopté. Le Conseil d’État – à qui il n’était au demeurant pas adressé – n’avait pas à en tirer une quelconque conséquence dans le cadre de l’opposition au PLA. Dans ces circonstances, il y a lieu de constater que les coopératives n’ont pas utilisé la voie de l’opposition, et leur recours est irrecevable de ce fait.</w:t>
      </w:r>
    </w:p>
    <w:p>
      <w:r>
        <w:rPr>
          <w:b/>
        </w:rPr>
        <w:t>E. 5</w:t>
      </w:r>
    </w:p>
    <w:p>
      <w:r>
        <w:t>Il reste à déterminer si M. BISOL a, en tant que voisin, qualité pour recourir.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ATA/790/2012 du 20 novembre 2012 ; ATA/281/2012 du 8 mai 2012 ; ATA/5/2009 du 13 janvier 2009 et les références citées). Cette notion de l’intérêt digne de protection est identique à celle qui a été développée par le Tribunal fédéral sur la base de l’art. 103 let. a de la loi fédérale d’organisation judiciaire du 16 décembre 1943 (OJ - aRS 173.110) et qui était, jusqu’à son abrogation le 1er janvier 2007, applicable aux juridictions administratives des cantons, conformément à l’art. 98a de la même loi ( ATA/790/2012 précité consid. 1b ;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En ce qui concerne les voisins,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 1 ; 1C_125/2009 du 24 juillet 2009 consid. 1 ; ATA/790/2012 précité ; ATA/539/2012 du 21 août 2012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et la jurisprudence citée ; ATA/790/2012 précité ; ATA/331/2007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précité consid. 2 ; ATA/790/2012 précité). Le critère de la distance n’est cependant pas pertinent à lui seul, car la détermination de la qualité pour recourir nécessite une appréciation de l’ensemble des circonstances (arrêt du Tribunal fédéral du 8 avril 1997, RDAF 1997 I, p. 242, consid. 3a). 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 ATA/453/2011 du 26 juillet 2011 ; ATA/534/2010 du 4 août 2010 et les autres références citées). La chambre de céans a reconnu la qualité pour recourir à des voisins faisant valoir qu’ils seraient touchés directement par l’augmentation du trafic qui découlerait de la construction de quatre immeubles de logements sur un chemin résidentiel ( ATA/453/2011 précité ; ATA/612/2010 du 31 août 2010). Le Tribunal fédéral a déjà admis la qualité pour recourir du voisin lorsque le fonds est situé à une distance visible du projet de construction (ATF 123 II 499 ; JT 1998 I 514 , Piermarco ZEN-RUFFINEN, La qualité pour recourir des tiers dans la gestion de l’espace in Les tiers dans la procédure administrative, Genève, 2004, p. 184). De même, il a admis que le propriétaire voisin a un intérêt certain à obtenir que la parcelle contiguë demeure libre de constructions nouvelles, et en particulier de logements nouveaux (Piermarco ZEN-RUFFINEN, op. cit. p. 175).</w:t>
      </w:r>
    </w:p>
    <w:p>
      <w:r>
        <w:rPr>
          <w:b/>
        </w:rPr>
        <w:t>E. 6</w:t>
      </w:r>
    </w:p>
    <w:p>
      <w:r>
        <w:t>En l’espèce, la maison de M. BISOL est située à 380 m environ de l’angle du périmètre du PLA le plus proche et à plus de 500 m de la partie du PLA où seraient édifiés les réservoirs et le bâtiment d’exploitation. Ce dernier ne prévoit pas que les camions desservant la serre projetée circulent sur le chemin de la Pesse, ou sur un chemin proche du terrain du recourant. Quant au risque d’inondation, le rapport des ingénieurs ne permet pas d’admettre que M. BISOL soit suffisamment et spécialement touché pour se voir reconnaître la qualité pour recourir. Au surplus, les mesures correctives nécessaires n’ont pas à être réalisées ou fixées dans le cadre du PLA, mais à l’occasion et en coordination avec la réalisation du projet. Au vu de ce qui précède, M. BISOL ne dispose pas de la qualité pour agir.</w:t>
      </w:r>
    </w:p>
    <w:p>
      <w:r>
        <w:rPr>
          <w:b/>
        </w:rPr>
        <w:t>E. 7</w:t>
      </w:r>
    </w:p>
    <w:p>
      <w:r>
        <w:t>En conséquence, le recours sera déclaré irrecevable. Un émolument de CHF 1'500.- sera mis à la charge des recourants,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