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A/937/2006 vom 13. Dezember 2005</w:t>
      </w:r>
    </w:p>
    <w:p>
      <w:r>
        <w:t>GE Cour de justice, 2005-12-13, FR</w:t>
      </w:r>
    </w:p>
    <w:p>
      <w:r>
        <w:rPr>
          <w:b/>
        </w:rPr>
        <w:t xml:space="preserve">Quelle: </w:t>
      </w:r>
      <w:r>
        <w:t>https://mcp.opencaselaw.ch/entscheid/ge_gerichte_A_937_2006</w:t>
      </w:r>
    </w:p>
    <w:p>
      <w:r>
        <w:t>FR: GE_GERICHTE A/937/2006 du 13 décembre 2005</w:t>
      </w:r>
    </w:p>
    <w:p>
      <w:r>
        <w:t>IT: GE_GERICHTE A/937/2006 del 13 dicembre 2005</w:t>
      </w:r>
    </w:p>
    <w:p>
      <w:pPr>
        <w:pStyle w:val="Heading2"/>
      </w:pPr>
      <w:r>
        <w:t>Erwägungen</w:t>
      </w:r>
    </w:p>
    <w:p>
      <w:r>
        <w:rPr>
          <w:b/>
        </w:rPr>
        <w:t>E. 1</w:t>
      </w:r>
    </w:p>
    <w:p>
      <w:r>
        <w:t>Par arrêt du 13 décembre 2005 ( ATA/846/2005 ), le Tribunal administratif a rejeté le recours de Madame X______, médecin-dentiste, contre une décision du département de l’économie et de la santé (ci-après : le département) du 18 janvier 2005. Ce dernier avait constaté que la recourante avait tardé à adresser à une ancienne patiente le dossier médical que celle-ci avait requis le 4 septembre 2001, mais qu’il n’y avait plus lieu de prononcer une injonction, le dossier en question ayant été transmis entre-temps. La décision litigieuse était fondée sur un préavis n° 1, rendu par la commission de surveillance des professions de la santé (ci-après : la commission) le 9 décembre 2004.</w:t>
      </w:r>
    </w:p>
    <w:p>
      <w:r>
        <w:rPr>
          <w:b/>
        </w:rPr>
        <w:t>E. 2</w:t>
      </w:r>
    </w:p>
    <w:p>
      <w:r>
        <w:t>Ce même 9 décembre 2004, la commission avait rendu un préavis n° 2. Le temps qu’il avait fallu à Mme X______, soit près d’une année et demie, pour transmettre le dossier à sa patiente était inadmissible et constituait un agissement professionnel incorrect. La commission a considéré que l’intéressée avait agi avec légèreté et a proposé au département de lui infliger un blâme, ce que ce dernier a fait le 9 février 2006.</w:t>
      </w:r>
    </w:p>
    <w:p>
      <w:r>
        <w:rPr>
          <w:b/>
        </w:rPr>
        <w:t>E. 3</w:t>
      </w:r>
    </w:p>
    <w:p>
      <w:r>
        <w:t>Le 13 mars 2006, Mme X______ a saisi le Tribunal administratif d’un recours en reprochant au département d’avoir excédé son pouvoir d’appréciation. Selon l’article 117 alinéa 1 de la loi sur l'exercice des professions de la santé, les établissements médicaux et diverses entreprises du domaine médical du 11 mai 2001 (LPS - K 3 05), le département pouvait infliger une sanction, mais n’en avait pas l’obligation. Mme X______ avait compris ses obligations et réalisé ses torts à la lecture de l’arrêt du Tribunal administratif du 13 décembre 2005, qui constituait déjà une « sanction » en soi. La décision litigieuse violait aussi le principe de la proportionnalité, dès lors que le prononcé d’un blâme ne permettait pas d’atteindre le but d’intérêt public visé par la loi : Mme X______ avait déjà compris que son comportement avait été contraire aux prescriptions légales en la matière. Pour un cas aussi mineur, le principe de la subsidiarité devait amener le département à renoncer à toute sanction, ne serait-ce que pour respecter les intérêts privés de la recourante. Mme X______ a de plus relevé que son ancienne patiente avait désiré obtenir son dossier dans le cadre d’une procédure civile qu’elle avait intentée contre un autre médecin-dentiste, et qu’elle avait perdue. Cela démontrait qu’elle n’avait pas subi de torts en raison de l’attitude de la recourante. Au surplus, la patiente en question n’avait pas de réel intérêt à obtenir les informations en question. Enfin, la recourante n’avait aucun antécédent et une analyse de la jurisprudence permettait de conclure que le prononcé d’un blâme était trop sévère, de sorte que la décision litigieuse devait purement et simplement être annulée.</w:t>
      </w:r>
    </w:p>
    <w:p>
      <w:r>
        <w:rPr>
          <w:b/>
        </w:rPr>
        <w:t>E. 4</w:t>
      </w:r>
    </w:p>
    <w:p>
      <w:r>
        <w:t>Les sanctions administratives visent les infractions aux dispositions de la loi ou de ses règlements ainsi que l'agissement professionnel incorrect dûment constaté et qualifié comme tel par la commission (art. 108 al. 2 let. a LPS). Quand la loi n'en dispose pas autrement, les sanctions sont infligées par le département, sur préavis de la commission (art. 110 al. 1 LPS). Le département est compétent pour prononcer notamment l'avertissement, le blâme et l'amende jusqu'à CHF 50'000.-, celle-ci pouvant être cumulée avec les deux premières sanctions (art. 110 al. 2 let. a à c et al. 3 LPS).</w:t>
      </w:r>
    </w:p>
    <w:p>
      <w:r>
        <w:rPr>
          <w:b/>
        </w:rPr>
        <w:t>E. 5</w:t>
      </w:r>
    </w:p>
    <w:p>
      <w:r>
        <w:t>Les sanctions disciplinaires doivent être fixées en tenant compte des principes généraux régissant le droit pénal ( ATA/123/1997 du 18 février 1997). En vertu de l'article 1 alinéa 2 de la loi pénale genevoise du 20 septembre 1941 (LPG - E 4 05), les dispositions générales contenues dans le Code pénal suisse du 21 décembre 1937 (CP - RS 311.0) sont applicables, sous réserve des exceptions prévues par le législateur cantonal à l'article 24 LPG ( ATA/364/2003 du 13 mai 2003). L’autorité qui inflige une sanction disciplinaire doit respecter le principe de la proportionnalité (V. MONTANI, C. BARDE, op. cit., p. 347), une telle sanction n’étant pas destinée à punir la personne en cause pour la faute commise, mais à assurer, par une mesure de coercition administrative, le bon fonctionnement du corps social auquel elle appartient, c’est à cet objectif que doit être adaptée la sanction.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 ATF 108 Ia 230 consid. 2b p. 232 ; ATF 106 Ia 100 consid. 13c p. 121 ; ATF 98 Ib 301 consid. 2b p. 306 ; ATF 97 I 831 consid. 2a p. 835 ; RDAF 2001 II 9 35 consid. 3c/bb ; SJ 1993 221 consid. 4 et les références doctrinales citées).</w:t>
      </w:r>
    </w:p>
    <w:p>
      <w:r>
        <w:rPr>
          <w:b/>
        </w:rPr>
        <w:t>E. 6</w:t>
      </w:r>
    </w:p>
    <w:p>
      <w:r>
        <w:t>Le Tribunal administratif retiendra que le droit des patients à accéder à leurs dossiers médicaux est fondamental et qu’il doit être scrupuleusement respecté par les praticiens, ce qui n’a manifestement pas été le cas en l’espèce. La désinvolture de Mme X______ face à la demande de sa patiente, le délai qu’elle a laissé s’écouler pour transmettre les pièces demandées, le nombre d’interventions qu’il a fallu- soit d’avocats de la patiente, soit de la commission - pour qu’elle les communique enfin et le lien qu’elle continue de nouer entre l’intérêt qu’avait ladite patiente à obtenir son dossier et l’obligation que la loi lui fait de le communiquer dénotent que la recourante n’a toujours pas saisi quelle est son obligation à l’égard de ses patients dans ce domaine. Sa faute ne peut en conséquence pas être qualifiée de bénigne ou de légère. Le fait que le Tribunal administratif a déjà rendu un arrêt constatant l’inadéquation de l’attitude de la recourante, même si elle indique en avoir tiré les leçons nécessaires, n’est que peu pertinent : la sanction infligée a tant pour objectif de punir Mme X______ que de stigmatiser ce genre de comportement pour le bon fonctionnement du corps social auquel elle appartient. Le tribunal prendra aussi en considération l’absence d’antécédents de la recourante pendant de nombreuses années. Ainsi, en tenant compte de l’ensemble de ces éléments, la sanction prononcée par le département est adaptée et doit être confirmée.</w:t>
      </w:r>
    </w:p>
    <w:p>
      <w:r>
        <w:rPr>
          <w:b/>
        </w:rPr>
        <w:t>E. 7</w:t>
      </w:r>
    </w:p>
    <w:p>
      <w:r>
        <w:t>Au vu de ce qui précède, le recours sera rejeté. Un émolument de CHF 1'500.- sera mis à la charge de la recourante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