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A/936/2016 vom 12. Mai 2016</w:t>
      </w:r>
    </w:p>
    <w:p>
      <w:r>
        <w:t>GE Cour de justice, 2016-05-12, FR</w:t>
      </w:r>
    </w:p>
    <w:p>
      <w:r>
        <w:rPr>
          <w:b/>
        </w:rPr>
        <w:t xml:space="preserve">Quelle: </w:t>
      </w:r>
      <w:r>
        <w:t>https://mcp.opencaselaw.ch/entscheid/ge_gerichte_A_936_2016</w:t>
      </w:r>
    </w:p>
    <w:p>
      <w:r>
        <w:t>FR: GE_GERICHTE A/936/2016 du 12 mai 2016</w:t>
      </w:r>
    </w:p>
    <w:p>
      <w:r>
        <w:t>IT: GE_GERICHTE A/936/2016 del 12 maggio 2016</w:t>
      </w:r>
    </w:p>
    <w:p>
      <w:pPr>
        <w:pStyle w:val="Heading2"/>
      </w:pPr>
      <w:r>
        <w:t>Regeste</w:t>
      </w:r>
    </w:p>
    <w:p>
      <w:r>
        <w:t>Indications erronées fournies par le créancier; Obligations de l'Office de rechercher ou inviter le créancier à fournir les informations sur le débiteur | LP.67</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le non-lieu de notification d'un commandement de payer. La plainte a été déposée dans les dix jours (art. 17 al. 2 LP) et répond aux exigences de forme (art. 9 al. 1 LaLP et art. 65 al. 1 et 2 LPA applicable par renvoi de l'art. 9 al. 4 LaLP); elle est donc recevable.</w:t>
      </w:r>
    </w:p>
    <w:p>
      <w:r>
        <w:rPr>
          <w:b/>
        </w:rPr>
        <w:t>E. 2</w:t>
      </w:r>
    </w:p>
    <w:p>
      <w:r>
        <w:t>. La plaignante estime que l'agent notificateur, se rendant compte de ce que l'adresse de la poursuivie avait changé, aurait dû entreprendre des recherches simples, telle la consultation du registre du commerce, pour s'enquérir de sa nouvelle adresse, ce qui aurait permis de notifier le commandement de payer.</w:t>
      </w:r>
    </w:p>
    <w:p>
      <w:r>
        <w:rPr>
          <w:b/>
        </w:rPr>
        <w:t>E. 2.1</w:t>
      </w:r>
    </w:p>
    <w:p>
      <w:r>
        <w:t>L'Office considère, en revanche, qu'il ne lui appartenait pas de procéder à une telle recherche. Selon ses directives internes, si le débiteur a déménagé il y a plus de six mois, cette recherche incombe au créancier. Ce n'était qu'à bien plaire qu'il avait cherché à notifier le commandement de payer à l'administrateur du tiers propriétaire.</w:t>
      </w:r>
    </w:p>
    <w:p>
      <w:r>
        <w:rPr>
          <w:b/>
        </w:rPr>
        <w:t>E. 2.2</w:t>
      </w:r>
    </w:p>
    <w:p>
      <w:r>
        <w:t>La réquisition de poursuites faite en vertu d'une créance garantie par gage doit énoncer, outre les indications énumérées à l'art. 67 LP, le nom du tiers qui a constitué le gage ou en est devenu propriétaire ainsi que l'adresse de ce tiers (art. 151 al. 1 let. a LP).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et les références citées).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 Ces considérations valent également pour la recherche de l'identité ou le domicile du tiers propriétaire.</w:t>
      </w:r>
    </w:p>
    <w:p>
      <w:r>
        <w:rPr>
          <w:b/>
        </w:rPr>
        <w:t>E. 2.3</w:t>
      </w:r>
    </w:p>
    <w:p>
      <w:r>
        <w:t>En l'espèce, il apparaît que la réquisition de poursuite en réalisation de gage contenait une indication erronée quant au siège du tiers propriétaire. L'Office pouvait ainsi soit rechercher lui-même la nouvelle adresse de ce dernier, soit demander à la plaignante de rectifier sa réquisition de poursuite sur ce point. Avant de rendre la décision querellée, il a, certes, cherché à notifier le commandement de payer à l'administrateur du tiers propriétaire dont le nom figurait sur la réquisition de poursuite. Il a cependant adressé la convocation et la sommation de ce dernier à l'ancien siège de la société. Ces mesures n'étaient ainsi, a priori , pas aptes à atteindre l'administrateur. Dès lors que le siège du tiers propriétaire ressort du registre du commerce et que cette information était aisée à trouver, il convient d'accueillir la plainte et d'inviter l'Office à notifier le commandement de payer, poursuite n°15 xxxx03 F, au tiers propriétaire, à son nouveau siège, à savoir au H______, Genève.</w:t>
      </w:r>
    </w:p>
    <w:p>
      <w:r>
        <w:rPr>
          <w:b/>
        </w:rPr>
        <w:t>E. 3</w:t>
      </w:r>
    </w:p>
    <w:p>
      <w:r>
        <w:t>La procédure est gratuite (art. 20a al. 2 ch. 5 LP; art. 61 al. 2 let. a OELP). * * * * * PAR CES MOTIFS, La Chambre de surveillance : A la forme : Déclare recevable la plainte formée le 23 mars 2016 par la Masse en faillite de A______ SA, EN LIQUIDATION contre la décision de non-lieu de notification du commandement de payer, poursuite n° 15 xxxx03 F, au tiers propriétaire. Au fond : L'admet et annule la décision entreprise. Invite l'Office des poursuites à notifier à la D______ le commandement de payer précité. Siégeant : Madame Florence KRAUSKOPF, présidente; Monsieur Michel BERTSCHY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