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A/934/2025 vom 23. September 2025</w:t>
      </w:r>
    </w:p>
    <w:p>
      <w:r>
        <w:t>GE Cour de justice, 2025-09-23, FR</w:t>
      </w:r>
    </w:p>
    <w:p>
      <w:r>
        <w:rPr>
          <w:b/>
        </w:rPr>
        <w:t xml:space="preserve">Quelle: </w:t>
      </w:r>
      <w:r>
        <w:t>https://mcp.opencaselaw.ch/entscheid/ge_gerichte_A_934_2025</w:t>
      </w:r>
    </w:p>
    <w:p>
      <w:r>
        <w:t>FR: GE_GERICHTE A/934/2025 du 23 septembre 2025</w:t>
      </w:r>
    </w:p>
    <w:p>
      <w:r>
        <w:t>IT: GE_GERICHTE A/934/2025 del 23 settembre 2025</w:t>
      </w:r>
    </w:p>
    <w:p>
      <w:pPr>
        <w:pStyle w:val="Heading2"/>
      </w:pPr>
      <w:r>
        <w:t>Erwägungen</w:t>
      </w:r>
    </w:p>
    <w:p>
      <w:r>
        <w:rPr>
          <w:b/>
        </w:rPr>
        <w:t>E. 2</w:t>
      </w:r>
    </w:p>
    <w:p>
      <w:r>
        <w:t>Le recourant conclut préalablement à son audition et à celle de témoins, ainsi qu’à la production de documents.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l’intimé a produit les images de vidéosurveillance ainsi que la directive sur la compétence pour prononcer des sanctions. Il n’est pas nécessaire de disposer d’une éventuelle directive sur l’attitude à adopter en cas de menaces s’agissant d’appuyer une simple hypothèse du recourant, ni d’entendre un autre détenu ou un autre gardien, les faits étant suffisamment documentés par les déclarations du gardien et de l’infirmier ainsi que les images de vidéosurveillance, comme il sera vu plus loin. Enfin, la liste des déplacements, pour peu qu’elle soit tenue, n’apportera rien à la solution du litige, qui tourne autour d’une séquence brève et suffisamment documentée. Il ne sera pas donné suite aux demandes d’actes d’instruction.</w:t>
      </w:r>
    </w:p>
    <w:p>
      <w:r>
        <w:rPr>
          <w:b/>
        </w:rPr>
        <w:t>E. 3</w:t>
      </w:r>
    </w:p>
    <w:p>
      <w:r>
        <w:t>Le recourant conteste la sanction, faisant valoir qu’il n’a pas proféré les menaces qu’on lui reproche.</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rPr>
          <w:b/>
        </w:rPr>
        <w:t>E. 3.3</w:t>
      </w:r>
    </w:p>
    <w:p>
      <w:r>
        <w:t>Selon l’art. 43 REPSD, la personne détenue doit observer une attitude correcte à l'égard du personnel, des autres personnes détenues et des tiers. Selon l’art.  4  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rPr>
          <w:b/>
        </w:rPr>
        <w:t>E. 3.4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 a) un avertissement écrit b) la suppression, complète ou partielle, pour une durée maximum de trois mois, des autorisations de sortie, des loisirs, des visites et de la possibilité de disposer des ressources financières c) l’amende jusqu’à CHF 1'000.- et d) les arrêts pour dix jours au plus (art. 46 al. 3 REPSD).</w:t>
      </w:r>
    </w:p>
    <w:p>
      <w:r>
        <w:rPr>
          <w:b/>
        </w:rPr>
        <w:t>E. 3.5</w:t>
      </w:r>
    </w:p>
    <w:p>
      <w:r>
        <w:t>Le directeur de l’établissement peut déléguer la compétence de prononcer les sanctions prévues à l’art. 46 al. 3 REPSD, autres que le placement en cellule forte pour plus de cinq jours, à d’autres membres du personnel gradé de l’établissement. Les modalités de la délégation sont prévues dans un ordre de service (art. 46 al. 7 REPSD). À teneur de l’art. 40 al. 1 du règlement sur l’organisation des établissements et le statut du personnel pénitentiaire du 22 février 2017 (ROPP – F 1 50.01) qui définit les grades et fonctions des agents de détention, un gardien-chef adjoint et un sous‑chef sont des officiers (let. f). Le sous-chef ayant prononcé la sanction querellée était donc habilité à le faire.</w:t>
      </w:r>
    </w:p>
    <w:p>
      <w:r>
        <w:rPr>
          <w:b/>
        </w:rPr>
        <w:t>E. 3.6</w:t>
      </w:r>
    </w:p>
    <w:p>
      <w:r>
        <w:t>Le principe de la proportionnalité, garanti par l’art. 5 al. 2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w:t>
      </w:r>
    </w:p>
    <w:p>
      <w:r>
        <w:rPr>
          <w:b/>
        </w:rPr>
        <w:t>E. 3.7</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w:t>
      </w:r>
    </w:p>
    <w:p>
      <w:r>
        <w:rPr>
          <w:b/>
        </w:rPr>
        <w:t>E. 3.8</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ATA/254/2025 du 13 mars 2025 consid. 5.5 ; ATA/154/2025 du 11 février 2025 consid. 3.4 et les références citées).</w:t>
      </w:r>
    </w:p>
    <w:p>
      <w:r>
        <w:rPr>
          <w:b/>
        </w:rPr>
        <w:t>E. 3.9</w:t>
      </w:r>
    </w:p>
    <w:p>
      <w:r>
        <w:t>En l’espèce, la décision reproche au recourant d’avoir menacé l’infirmier de lui taper la tête contre le mur. Le reproche est fondé d’une part sur le rapport d’un agent de détention assermenté, lequel rapport revêt ainsi une valeur probante accrue, d’autre part sur le courriel rédigé par l’infirmier. La description des agissements du recourant telle qu’elle ressort des images de la vidéosurveillance est parfaitement compatible tant avec le rapport qu’avec le courriel. Le recourant fait valoir une différence de terminologie entre les déclarations de l’agent de détention et celles de l’infirmier. Malgré l’usage des guillemets, on comprend que l’un et l’autre restituent de mémoire la même phrase prononcée par le recourant, si bien que l’usage de synonymes n’affecte pas la valeur probante des déclarations. Le fait que l’infirmier a rapporté une réitération tandis que l’agent de détention n’a rapporté qu’une profération n’affecte pas non plus la crédibilité de leurs déclarations. Il est possible que l’agent n’ait pas entendu la seconde menace, et les images montrent clairement le recourant s’adresser à un second agent de détention qui s’avance dans le couloir en gesticulant en direction de l’infirmier, ce qui corrobore les déclarations de ce dernier, même s’il s’agit d’un autre gardien et non d’un autre détenu. Le recourant soutient que les images de vidéosurveillance le montrent calme et n’interrompant pas l’infirmier. En réalité, les images ne permettent pas de confirmer que le recourant n’aurait pas interrompu l’infirmier. En revanche, elles montrent le recourant plutôt agité, gesticulant et montrant du doigt, semblant revenir à la charge vers l’infirmier, et se tournant encore trois fois dans la direction que celui-ci a prise en parlant et en faisant des gestes. Le recourant ne saurait ainsi tirer des images que le rapport de l’agent de détention serait contraire à la réalité. Enfin, le recourant se prévaut d’une expression portugaise qui exprimerait l’exaspération, l’ironie ou le découragement. Il ne soutient pas que le gardien aurait dû, ou même pu, attribuer la même signification à sa traduction vers le français. Quoi qu’il en soit, le gardien et l’infirmier ont bien entendu une menace, et même si le recourant devait établir qu’il aurait simplement dit à l’infirmier « va te taper la tête contre les murs », l’expression n’aurait rien perdu de son caractère insultant et menaçant. Il est ainsi établi que le recourant a contrevenu aux art. 43 et 44 let. h, i et j REPSD. Il reste à déterminer si la sanction est proportionnée. Le recourant ne s’en prend ni à la nature ni à la quotité de la sanction. Il a fait l’objet d’une suspension des activités communes durant sept jours. Cette sanction est la seconde, dans l’ordre de sévérité croissante, prévue par l’art. 46 al. 3 REPSD. Elle apparaît proportionnée à la faute commise. Elle tient compte d’un antécédent d’avril 2024. Elle est apte à inciter le recourant à se conformer aux règles régissant la vie en détention. L’autorité intimée, qui jouit d’un large pouvoir d’appréciation en la matière, n’a ainsi pas abusé de son pouvoir d’appréciation ni violé la loi. Mal fondé, le recours sera rejeté.</w:t>
      </w:r>
    </w:p>
    <w:p>
      <w:r>
        <w:rPr>
          <w:b/>
        </w:rPr>
        <w:t>E. 4</w:t>
      </w:r>
    </w:p>
    <w:p>
      <w:r>
        <w:t>La procédure étant gratuite, il ne sera pas perçu d’émolument. Le recourant succombant,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