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A/932/2007 vom 29. Oktober 2007</w:t>
      </w:r>
    </w:p>
    <w:p>
      <w:r>
        <w:t>GE Cour de justice, 2007-10-29, FR</w:t>
      </w:r>
    </w:p>
    <w:p>
      <w:r>
        <w:rPr>
          <w:b/>
        </w:rPr>
        <w:t xml:space="preserve">Quelle: </w:t>
      </w:r>
      <w:r>
        <w:t>https://mcp.opencaselaw.ch/entscheid/ge_gerichte_A_932_2007</w:t>
      </w:r>
    </w:p>
    <w:p>
      <w:r>
        <w:t>FR: GE_GERICHTE A/932/2007 du 29 octobre 2007</w:t>
      </w:r>
    </w:p>
    <w:p>
      <w:r>
        <w:t>IT: GE_GERICHTE A/932/2007 del 29 ottobre 2007</w:t>
      </w:r>
    </w:p>
    <w:p>
      <w:pPr>
        <w:pStyle w:val="Heading2"/>
      </w:pPr>
      <w:r>
        <w:t>Erwägungen</w:t>
      </w:r>
    </w:p>
    <w:p>
      <w:r>
        <w:rPr>
          <w:b/>
        </w:rPr>
        <w:t>E. 1</w:t>
      </w:r>
    </w:p>
    <w:p>
      <w:r>
        <w:t>Conformément à l’art. 56V de la loi sur l’organisation judiciaire (LOJ), le Tribunal cantonal des assurances sociales est compétent pour statuer dans la présente cause.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w:t>
      </w:r>
    </w:p>
    <w:p>
      <w:r>
        <w:rPr>
          <w:b/>
        </w:rPr>
        <w:t>E. 3</w:t>
      </w:r>
    </w:p>
    <w:p>
      <w:r>
        <w:t>En l'espèce, la situation juridique de la SUVA, CAISSE NATIONALE SUISSE D'ASSURANCE EN CAS D'ACCIDENTS, pourrait être concernée par l'issue de la présente procédure. Il se justifie par conséquent de l'appeler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