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A/930/2023 vom 27. April 2023</w:t>
      </w:r>
    </w:p>
    <w:p>
      <w:r>
        <w:t>GE Cour de justice, 2023-04-27, FR</w:t>
      </w:r>
    </w:p>
    <w:p>
      <w:r>
        <w:rPr>
          <w:b/>
        </w:rPr>
        <w:t xml:space="preserve">Quelle: </w:t>
      </w:r>
      <w:r>
        <w:t>https://mcp.opencaselaw.ch/entscheid/ge_gerichte_A_930_2023</w:t>
      </w:r>
    </w:p>
    <w:p>
      <w:r>
        <w:t>FR: GE_GERICHTE A/930/2023 du 27 avril 2023</w:t>
      </w:r>
    </w:p>
    <w:p>
      <w:r>
        <w:t>IT: GE_GERICHTE A/930/2023 del 27 aprile 2023</w:t>
      </w:r>
    </w:p>
    <w:p>
      <w:pPr>
        <w:pStyle w:val="Heading2"/>
      </w:pPr>
      <w:r>
        <w:t>Erwägungen</w:t>
      </w:r>
    </w:p>
    <w:p>
      <w:r>
        <w:rPr>
          <w:b/>
        </w:rPr>
        <w:t>E. 5</w:t>
      </w:r>
    </w:p>
    <w:p>
      <w:r>
        <w:t>Afin d’être exhaustif, la question du délai sera également examinée. La décision rendue par l’OAI est datée du 18 janvier 2023 et l’écriture de la représentante légale, datée du 9 mars 2023, a été postée en date du 14 mars 2023.</w:t>
      </w:r>
    </w:p>
    <w:p>
      <w:r>
        <w:rPr>
          <w:b/>
        </w:rPr>
        <w:t>E. 5.1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trente jours suivant la notification de la décision sujette à recours (art. 56 et 60 LPGA ; cf. également l’art. 63 al. 1 let. a de la loi sur la procédure administrative du 12 septembre 1985 [LPA - E 5 10]).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ème jour avant Pâques au 7 ème jour après Pâques inclusivement ; b) du 15 juillet au 15 août inclusivement ; c) du 18 décembre au 2 janvier inclusivement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 ème éd., n° 704 p. 153 ; KÖLZ/HÄNER, Verwaltungsverfahren und Verwaltungsrechtspflege des Bundes, 2 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ni contestable que le recours a été interjeté après le délai de trente jours dès sa réception.</w:t>
      </w:r>
    </w:p>
    <w:p>
      <w:r>
        <w:rPr>
          <w:b/>
        </w:rPr>
        <w:t>E. 5.2</w:t>
      </w:r>
    </w:p>
    <w:p>
      <w:r>
        <w:t>Reste à examiner si une restitution de délai peut être accordée. Tel peut être le cas, de manière exceptionnelle, à condition que le requérant ait été empêché, sans sa faute, d’agir dans le délai fixé (art. 41 LPGA / art. 16 al. 3 LPA) et pour autant qu’une demande de restitution motivée, indiquant la nature de l’empêchement, soit présentée dans les trente / dix jours à compter de celui où il a cessé. Il s’agit là de dispositions impératives auxquelles il ne peut être dérogé (Jurisprudence des autorités administratives de la Confédération [JAAC] 60/1996, consid. 5.4, p. 367 ; ATF 119 II 87 consid. 2a ; ATF 112 V 256 consid. 2a).</w:t>
      </w:r>
    </w:p>
    <w:p>
      <w:r>
        <w:rPr>
          <w:b/>
        </w:rPr>
        <w:t>E. 5.3</w:t>
      </w:r>
    </w:p>
    <w:p>
      <w:r>
        <w:t>En l'espèce, une restitution du délai de recours au sens de l'art. 41 al. 1 LPGA ne se justifie pas. En effet, la représentante légale de l’assuré n’a fait valoir aucun motif de restitution pouvant justifier qu’elle avait été empêchée, sans sa faute, d’agir pour l’assuré dans le délai fixé.</w:t>
      </w:r>
    </w:p>
    <w:p>
      <w:r>
        <w:rPr>
          <w:b/>
        </w:rPr>
        <w:t>E. 5.4</w:t>
      </w:r>
    </w:p>
    <w:p>
      <w:r>
        <w:t>En l'absence de motif valable de restitution de délai, le recours doit être déclaré irrecevable pour cause de tardiveté.</w:t>
      </w:r>
    </w:p>
    <w:p>
      <w:r>
        <w:rPr>
          <w:b/>
        </w:rPr>
        <w:t>E. 6</w:t>
      </w:r>
    </w:p>
    <w:p>
      <w:r>
        <w:t>Pour les raisons exposées supra, le recours est déclaré irrecevable pour cause de manque de motivation et de tardiveté.</w:t>
      </w:r>
    </w:p>
    <w:p>
      <w:r>
        <w:rPr>
          <w:b/>
        </w:rPr>
        <w:t>E. 7</w:t>
      </w:r>
    </w:p>
    <w:p>
      <w:r>
        <w:t>Compte tenu des particularités de la présente cause, il sera renoncé à percevoir un 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