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A/929/2024 vom 6. Juni 2024</w:t>
      </w:r>
    </w:p>
    <w:p>
      <w:r>
        <w:t>GE Cour de justice, 2024-06-06, FR</w:t>
      </w:r>
    </w:p>
    <w:p>
      <w:r>
        <w:rPr>
          <w:b/>
        </w:rPr>
        <w:t xml:space="preserve">Quelle: </w:t>
      </w:r>
      <w:r>
        <w:t>https://mcp.opencaselaw.ch/entscheid/ge_gerichte_A_929_2024</w:t>
      </w:r>
    </w:p>
    <w:p>
      <w:r>
        <w:t>FR: GE_GERICHTE A/929/2024 du 6 juin 2024</w:t>
      </w:r>
    </w:p>
    <w:p>
      <w:r>
        <w:t>IT: GE_GERICHTE A/929/2024 del 6 giugno 2024</w:t>
      </w:r>
    </w:p>
    <w:p>
      <w:pPr>
        <w:pStyle w:val="Heading2"/>
      </w:pPr>
      <w:r>
        <w:t>Volltext</w:t>
      </w:r>
    </w:p>
    <w:p>
      <w:r>
        <w:t>Genève Cour de Justice (Cour civile) Chambre de surveillance en matière de poursuite et faillites 07.06.2024 A/929/2024</w:t>
      </w:r>
    </w:p>
    <w:p>
      <w:r>
        <w:t>A/929/2024 DCSO/264/2024 du 07.06.2024 ( PLAINT ) , REJETE En fait En droit Par ces motifs RÉPUBLIQUE ET CANTON DE GENÈVE POUVOIR JUDICIAIRE A/929/2024-CS DCSO/264/24 DECISION DE LA COUR DE JUSTICE Chambre de surveillance des Offices des poursuites et faillites DU JEUDI 6 JUIN 2024 Plainte 17 LP (A/929/2024-CS) formée en date du 18 mars 2024 par A ______ , représenté par Me Antoine Boesch, avocat. * * * * * Décision communiquée par courrier A à l'Office concerné et par plis recommandés du greffier du 10 juin 2024 à : - A ______ c/o Me BOESCH Antoine Poncet Turrettini Rue de Hesse 8 Case postale 1211 Genève 4. - B ______ c/o Me MOSER Laurent Kellerhals Carrard Genève SNC Rue François-Bellot 6 1206 Genève. - Office cantonal des poursuites . EN FAIT A. a. L'immeuble immatriculé au Registre foncier sous feuillet n° 1______ de la commune de C______ [GE] (ci-après : l'Immeuble), sis chemin 2______ no. ______ à C______, appartient en propriété commune à la communauté héréditaire composée de D______, E______, F______, G______, H______, I______, B______, J______, K______, L______ et M______ (ci-après : les Héritiers). b. Le 26 septembre 2022, A______ a déposé une requête en conciliation par devant la juridiction des prud'hommes, tendant au paiement d'un montant de 203'730 fr. hors intérêts, dirigée à l'encontre de l'hoirie de feue N______, y compris D______, E______, F______, G______, H______, I______, B______, J______, K______, L______ et M______, et de O______, défendeurs pris conjointement et solidairement. c. Se fondant sur la créance réclamée dans la procédure prud'homale, A______ a, le 6 février 2024, saisi le Tribunal de première instance d'une requête de séquestre dirigée à l'encontre des Héritiers, concluant au séquestre de l'Immeuble à son profit. Sa requête était accompagnée de onze formules d'ordonnance de séquestre préremplies, chacune établie au nom d'un des Héritiers. d. Le 8 février 2024, le Tribunal a fait droit à la requête et rendu onze ordonnances de séquestre (séquestres n° 3______, 4______, 5______, 6______, 7______, 8______, 9______, 10_____, 11_____, 12_____ et 13_____), chaque ordonnance étant prononcée à l'encontre d'un des Héritiers cités. Il a ainsi, entre autres, prononcé l'ordonnance de séquestre n° 9______ à l'encontre de B______, ordonnant le séquestre de l'immeuble n° 1______ de la commune de C______, sis chemin 2______ no. ______, [code postal] C______, propriété commune (communauté héréditaire) des onze Héritiers. e. Ce séquestre n° 9______ a, à l'instar des dix autres séquestres prononcés à l'encontre des autres héritiers, été exécuté le même jour par l'Office cantonal des poursuites (ci-après : l'Office) par l'envoi au Registre foncier d'une réquisition d'annotation d'une interdiction d'aliéner. f. L'Office a procédé à des investigations complémentaires auprès du créancier séquestrant. Ce dernier lui a indiqué, par réponses des 20 et 27 février 2024, que feue N______ était propriétaire de l'Immeuble au moment de son décès, qu'elle était alors domiciliée en Arabie Saoudite et de nationalité saoudienne, qu'elle avait neuf enfants, dont l'un d'eux était décédé peu de temps après sa mère, ayant ainsi été succédé par ses deux propres enfants et son épouse. Tous les débiteurs séquestrés formant la communauté héréditaire étaient domiciliés à l'étranger. g. Par décision du 8 mars 2024, l'Office a décidé de révoquer l'exécution du séquestre et de prononcer en conséquence la radiation de l'annotation d'une interdiction d'aliéner requise le 8 février 2024. Il a considéré qu'il n'était pas compétent à raison du lieu pour exécuter le séquestre, au motif que la débitrice séquestrée n'était pas domiciliée à Genève, que la défunte n'était pas domiciliée en Suisse au moment de son décès et qu'elle n'était pas de nationalité suisse. Il a rendu dix décisions identiques dans le cadre des dix autres séquestres ordonnés. B. a. Par acte déposé à la Chambre de surveillance le 18 mars 2024, A______ a formé une plainte au sens de l'art. 17 LP contre cette décision, concluant à son annulation et à ce qu'il soit ordonné à l'Office de procéder à l'exécution de ce séquestre, sous suite de frais et dépens. b. Sa requête tendant à ce que l'effet suspensif soit accordé à sa plainte a été admise par la Chambre de surveillance le 19 mars 2024. c. Dans son rapport du 5 avril 2024, l'Office a conclu au rejet de la plainte. Il a relevé que le séquestre d'un immeuble en propriété commune s'opérait en application de l'Ordonnance du Tribunal fédéral concernant la saisie et la réalisation de parts de communautés, puisque les onze ordonnances de séquestre rendues à l'encontre de chacun des héritiers séparément ne portaient que sur leur part respective de liquidation de la succession. Aucun des fors prévus par l'art. 2 n'était réalisé, puisque la débitrice séquestrée n'était pas domiciliée en Suisse, et la défunte n'avait pas la nationalité suisse ni eu son dernier domicile en Suisse. Le plaignant ne pouvait se prévaloir de l'inapplicabilité de l'OPC alors qu'il avait requis le séquestre à l'encontre de chacun des onze héritiers séparément de façon conjointe et solidaire plutôt que d'initier un seul séquestre à l'encontre de l'hoirie elle-même. Le plaignant n'avait enfin pas établi que l'hoirie de N______ était composée exclusivement des onze héritiers copropriétaires de l'Immeuble. d. Dans ses observations du 10 avril 2024, B______ a conclu au rejet de la plainte. Elle contestait être solidairement responsable, ensemble avec les dix autres personnes prises à partie par le plaignant, d'une dette à son encontre. La procédure ne permettait pas de déterminer l'ensemble des héritiers de N______ ni qu'ils seraient les mêmes personnes que celles qui étaient propriétaires de l'Immeuble. Le plaignant n'avait à aucun moment demandé une jonction des causes. e. Le greffe de la Chambre de surveillance a informé les parties par courrier du 11 avril 2024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 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 La saisie, respectivement le séquestre (art. 275 LP; ATF 118 III 62 consid. 2.c, JdT 1992 II 78),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 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 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 2.2 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 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 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 3. La procédure devant l'autorité de surveillance est gratuite (art. 20a al. 2 ch. 5 LP; art. 61 al. 2 let. a OELP) et ne donne pas lieu à l'allocation de dépens (art. 62 al. 2 OELP). * * * * * PAR CES MOTIFS, La Chambre de surveillance : A la forme : Déclare recevable la plainte formée le 18 mars 2024 par A______ contre la décision rendue le 8 mars 2024 par l'Office des poursuites dans le cadre de l'exécution du séquestre n° 9______. Au fond : La rejette. Déboute A______ de toutes autres conclusions. Siégeant : Madame Ursula ZEHETBAUER GHAVAMI, présidente; Madame Natalie OPPATJA et Monsieur Denis KELLER, juges assesseurs ;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