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A/929/2013 vom 9. Juni 2015</w:t>
      </w:r>
    </w:p>
    <w:p>
      <w:r>
        <w:t>GE Cour de justice, 2015-06-09, FR</w:t>
      </w:r>
    </w:p>
    <w:p>
      <w:r>
        <w:rPr>
          <w:b/>
        </w:rPr>
        <w:t xml:space="preserve">Quelle: </w:t>
      </w:r>
      <w:r>
        <w:t>https://mcp.opencaselaw.ch/entscheid/ge_gerichte_A_929_2013</w:t>
      </w:r>
    </w:p>
    <w:p>
      <w:r>
        <w:t>FR: GE_GERICHTE A/929/2013 du 9 juin 2015</w:t>
      </w:r>
    </w:p>
    <w:p>
      <w:r>
        <w:t>IT: GE_GERICHTE A/929/2013 del 9 giugno 2015</w:t>
      </w:r>
    </w:p>
    <w:p>
      <w:pPr>
        <w:pStyle w:val="Heading2"/>
      </w:pPr>
      <w:r>
        <w:t>Erwägungen</w:t>
      </w:r>
    </w:p>
    <w:p>
      <w:r>
        <w:rPr>
          <w:b/>
        </w:rPr>
        <w:t>E. 2</w:t>
      </w:r>
    </w:p>
    <w:p>
      <w:r>
        <w:t>La surveillance et le contrôle des mesures de sécurité contre les incendies sont soumis aux dispositions de la loi sur la prévention des sinistres, l'organisation et l'intervention des sapeurs-pompiers du 25 janvier 1990, entré en vigueur le 1 er août 1990 (LPSSP - F 4 05) ainsi qu'à son règlement d'application du 25 juillet 1990, entré en vigueur le 1 er août 1990 (RPSSP - F 4 05.01). Conformément à l'art. 1 al. 2 RPSSP, le département de l'aménagement, du logement et de l'énergie est chargé de la prévention des sinistres. Selon l'al. 2 du même article, il délègue tout ou partie de cette compétence au service de la police du feu. À teneur de l'art. 4 du règlement précité, la prévention des sinistres concerne toutes mesures propres à assurer la protection des personnes et des biens, à éviter un dommage et à limiter l'extension d'un sinistre. Le département de l'aménagement, du logement et de l'énergie, soit pour lui le service du feu avait ainsi la compétence d'établir et de notifier la décision du 26 février 2013 à la recourante, conformément aux art. 1 al. 2 et 4 RPSSP.</w:t>
      </w:r>
    </w:p>
    <w:p>
      <w:r>
        <w:rPr>
          <w:b/>
        </w:rPr>
        <w:t>E. 3</w:t>
      </w:r>
    </w:p>
    <w:p>
      <w:r>
        <w:t>a. Conformément à l'art. 69 al. 1 LPA, la juridiction administrative chargée de statuer est liée par les conclusions des parties mais n'est, en revanche pas liée par les motifs que les parties invoquent. En l'espèce, la recourante conclut à l'annulation de la décision du 26 février 2013 lui infligeant une amende de CHF 4'000.- au motif qu'elle aurait procédé à la seule démarche lui incombant, à savoir la signature d'une demande d'autorisation en procédure accélérée et que, pour le surplus, les obligations liées aux autorisations nécessaires à la destination de la surface des locaux en tant qu'exploitation liée à la vente découlaient de celles de l'exploitant, conformément à la convention de transfert de bail du 30 septembre 2011. La recourante n'a pas pris de conclusions à l'encontre des mesures de restriction de l'exploitation de la surface de vente, si bien que la juridiction de céans n'entrera pas en matière sur ce point. b. Selon l'art. 41 al. 1 LPSSP, le département peut infliger une amende administrative de CHF 100.- à CHF 20'000.- en cas d'infraction, intentionnellement ou par négligence, à la loi, aux règlements édictés en vertu de la loi, aux décisions prises par le département dans les limites de la loi ou de ses règlements d'application. Selon l'al. 2 du même article, il est tenu compte dans la fixation du montant de l’amende, du degré de gravité de la faute.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du droit pénal ( ATA/92/2015 du 20 janvier 2015 consid. 9a ; ATA/74/2013 du 6 février 2013 ; ATA/700/2012 du 16 octobre 2012 ; ATA/684/2012 du 9 octobre 2012 ; ATA/14/2011 du 11 janvier 2011 ; ATA/788/2010 du 16 novembre 2010 ; Pierre MOOR, Droit administratif: les actes administratifs et leur contrôle, vol. 2,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Il est ainsi nécessaire que le contrevenant ait commis une faute, fût-ce sous la forme d’une simple négligence (Ulrich HÄFELIN/Georg MÜLLER/Felix UHLMANN, Allgemeines Verwaltungsrecht, 6 ème éd., 2006, p. 252 n. 1179). Selon la jurisprudence constante, l’administration doit faire preuve de sévérité afin d’assurer le respect de la loi et jouit d’un large pouvoir d’appréciation pour infliger une amende ( ATA/92/2015 précité ; ATA/71/2012 du 31 janvier 2012 ; ATA/14/2011 du 11 janvier 2011 ; ATA/788/2010 du 16 novembre 2010 ; ATA/571/2010 du 31 août 2010). La juridiction de céans ne la censure qu’en cas d’excès ou d’abus ( ATA/160/2009 du 31 mars 2009). Le département prend en considération la nature, la gravité et la fréquence des infractions commises dans le respect du principe de la proportionnalité (art. 36 al. 3 de la Constitution fédérale de la Confédération suisse du 18 avril 1999 - Cst. - RS 101 ; ATA/74/2013 du 6 février 2013 ; ATA/684/2012 du 9 octobre 2012 ; Mémorial des séances du Grand Conseil, 1985, III p. 4275).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ATA/12/2015 du 6 janvier 2015 consid. 7f ; ATA/134/2014 précité). c. En l'espèce, le département a constaté que l'établissement n'était pas conforme aux prescriptions de protection incendie de l'AEAI, notamment à la directive 16.03f « voies d'évacuation et de sauvetage », ce que ne conteste pas la recourante. Ces manquements peuvent effectivement être qualifiés de graves car il est notoire qu'en cas d'incendie, ceux-ci peuvent mettre en danger de manière irréversible la salubrité ainsi que la santé publique. La jurisprudence de la Cour de céans les a, par ailleurs, qualifié de biens juridiques de première importance en tant qu'intérêts dits de police ( ATA/811/2012 du 27 novembre 2012). En n'effectuant pas les démarches liées à une demande d'autorisation de construire en bonne et due forme, malgré les relances répétées de l'exploitant puis de celles du département, la recourante a adopté un comportement fautif manifeste et délibéré. En outre, pour le cas où un incendie se déclarerait dans les locaux qui ne sont pas conformes aux prescriptions de protection incendie de l'AEAI, le risque pour les individus d'essuyer des atteintes physiques d'une gravité certaine doit être pris en considération. De plus, l'exploitant avait tout mis en œuvre afin que la recourante n'ait qu'à apposer sa signature sur la demande susmentionnée puis de l'acheminer au département compétent. Considérant ce qui précède, l'attitude de cette dernière ne constitue pas un simple oubli mais bien un manquement fautif, puisqu'elle a refusé de se soumettre aux injonctions de l'autorité. Force est de constater que le manque de diligence et la mauvaise volonté manifeste de la recourante sont de nature, en sus de l'absence d'autorisation légale, à justifier le montant de l'amende de CHF 4'000.- infligé par le département. Partant, le département n'a pas outrepassé son pouvoir d'appréciation et la décision du 26 février 2013 du département, soit pour lui le service du feu, est confirmée sur le principe de l'amende ainsi que son montant, arrêté à CHF 4'000.-.</w:t>
      </w:r>
    </w:p>
    <w:p>
      <w:r>
        <w:rPr>
          <w:b/>
        </w:rPr>
        <w:t>E. 4</w:t>
      </w:r>
    </w:p>
    <w:p>
      <w:r>
        <w:t>Un principe général de procédure administrative veut que les frais soient supportés par la partie qui succombe et dans la mesure où elle succombe (René RHINOW/Heinrich KOLLER/Kristina KISS, Öffentliches Prozessrecht, 2 ème éd., 2010, n. 1693). En l'espèce, en tant qu’elle succombe, les frais de la présente procédure, arrêtés à CHF 1'000.-, sont mis à la charge de la recourante (art. 87 al. 1 LPA). Vu la qualité de l’intimé,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