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A/925/2023 vom 4. Juni 2024</w:t>
      </w:r>
    </w:p>
    <w:p>
      <w:r>
        <w:t>GE Cour de justice, 2024-06-04, FR</w:t>
      </w:r>
    </w:p>
    <w:p>
      <w:r>
        <w:rPr>
          <w:b/>
        </w:rPr>
        <w:t xml:space="preserve">Quelle: </w:t>
      </w:r>
      <w:r>
        <w:t>https://mcp.opencaselaw.ch/entscheid/ge_gerichte_A_925_2023</w:t>
      </w:r>
    </w:p>
    <w:p>
      <w:r>
        <w:t>FR: GE_GERICHTE A/925/2023 du 4 juin 2024</w:t>
      </w:r>
    </w:p>
    <w:p>
      <w:r>
        <w:t>IT: GE_GERICHTE A/925/2023 del 4 giugno 2024</w:t>
      </w:r>
    </w:p>
    <w:p>
      <w:pPr>
        <w:pStyle w:val="Heading2"/>
      </w:pPr>
      <w:r>
        <w:t>Regeste</w:t>
      </w:r>
    </w:p>
    <w:p>
      <w:r>
        <w:t>AMÉNAGEMENT DU TERRITOIRE ET DROIT PUBLIC DES CONSTRUCTIONS;CONSTRUCTION ET INSTALLATION;TRAVAUX DE CONSTRUCTION;PERMIS DE CONSTRUIRE;INSTALLATION DE TÉLÉCOMMUNICATION;ANTENNE;DROIT À L'ANTENNE;RADIOCOMMUNICATION;TÉLÉPHONE MOBILE;PROTECTION DES MONUMENTS;ESTHÉTIQUE;PESÉE DES INTÉRÊTS;PRISE DE POSITION DE L'AUTORITÉ;CONSTATATION DES FAITS;INTERDICTION DE L'ARBITRAIRE | Confirmation du jugement du TAPI portant sur un refus d'autorisation d'installer une antenne sur le toit d'un bâtiment appartenant à un ensemble protégé du XIXe siècle ou du début du XXe siècle. Préavis défavorable de la CMNS. Pesée des intérêts entre la préservation de l'ensemble protégé et celui des habitants du quartier à disposer d'un réseau de téléphonie mobile de bonne qualité. En raison de l'atteinte esthétique importante portée au bâtiment concerné et à l'ensemble protégé ainsi que de l'existence d'au moins une solution alternative concrète moins dommageable et en l'absence de nécessité d'augmenter la couverture du réseau dans le site concerné, l'intérêt public à la protection du patrimoine l'emporte sur ceux découlant de la législation sur les télécommunications. Recours rejeté. | Cst.29.al2; LPA.61; LPA.19; LPA.20; LPA.22; LAT.22.al1; LCI.1.al1; RCI.1.letd; LPN.3.al1; Cst.92.al2; LTC.1.al1; LTC.1.al2; LAT.14.al1; LAT.14.al2; LAT.17.al1.letc; LaLAT.12.al5; LCI.89; LCI.91; LCI.93.al1; LCI.93.al4; LCI.3.al3; LPMNS.46.al2; LCI.15; LAT.2.al3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149 LCI).</w:t>
      </w:r>
    </w:p>
    <w:p>
      <w:r>
        <w:rPr>
          <w:b/>
        </w:rPr>
        <w:t>E. 2</w:t>
      </w:r>
    </w:p>
    <w:p>
      <w:r>
        <w:t>La recourante sollicite la mise en œuvre d'une expertise judiciaire ou l'interpellation du SABRA afin qu'il se détermine sur la valeur probante des cartes qu'elle a produites par rapport à la problématique de la couverture 5G dans le secteur.</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les parties ont pu faire valoir leurs arguments par écrit et se déterminer de manière circonstanciée, lors des échanges d’écritures, sur les prises de position de leur partie adverse. Elles ont également pu produire toute pièce utile. La chambre de céans est en possession d’un dossier complet et la cause est en état d’être jugée. Par appréciation anticipée des preuves, il ne sera ainsi pas donné suite à la demande d’actes d’instruction de la recourante.</w:t>
      </w:r>
    </w:p>
    <w:p>
      <w:r>
        <w:rPr>
          <w:b/>
        </w:rPr>
        <w:t>E. 3</w:t>
      </w:r>
    </w:p>
    <w:p>
      <w:r>
        <w:t>Le litige porte sur la conformité au droit du jugement attaqué, par lequel le TAPI a confirmé le refus de l'autorité intimée de délivrer à la recourante l'autorisation sollicitée.</w:t>
      </w:r>
    </w:p>
    <w:p>
      <w:r>
        <w:rPr>
          <w:b/>
        </w:rPr>
        <w:t>E. 4</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4.1</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ATA/827/2018 du 28 août 2018 consid. 2b ; ATA/845/2015 du 20 août 2015 consid. 2b ; Pierre MOOR/Alexandre FLÜCKIGER/Vincent MARTENET, Droit administratif, vol. I, 3 e éd., 2012, p. 743 ss et les références citées).</w:t>
      </w:r>
    </w:p>
    <w:p>
      <w:r>
        <w:rPr>
          <w:b/>
        </w:rPr>
        <w:t>E. 4.2</w:t>
      </w:r>
    </w:p>
    <w:p>
      <w:r>
        <w:t>En matière administrative, les faits doivent en principe être établis d’office (art. 19 LPA)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 pour les faits constitutifs d’un droit, le fardeau de la preuve incombe à celui qui entend se prévaloir de ce droit (ATF 112 Ib 65 consid. 3 ; arrêt du Tribunal fédéral 1C_170/2011 du 18 août 2011 consid. 3.2 ; ATA/1230/2022 du 6 décembre 2022 consid. 4e ; Thierry TANQUEREL, Manuel de droit administratif, 2 e éd., 2018, p. 528 n. 1563 ; Pierre MOOR/Étienne POLTIER, Droit administratif, vol. 2, 3 e éd., 2011, p. 296 ss n. 2.2.6.4).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ATA/1150/2022 du 15 novembre 2022 consid. 3a).</w:t>
      </w:r>
    </w:p>
    <w:p>
      <w:r>
        <w:rPr>
          <w:b/>
        </w:rPr>
        <w:t>E. 5</w:t>
      </w:r>
    </w:p>
    <w:p>
      <w:r>
        <w:t>Il convient d'exposer le régime légal applicable aux antennes de communications mobiles.</w:t>
      </w:r>
    </w:p>
    <w:p>
      <w:r>
        <w:rPr>
          <w:b/>
        </w:rPr>
        <w:t>E. 5.1</w:t>
      </w:r>
    </w:p>
    <w:p>
      <w:r>
        <w:t>Aucune construction ou installation ne peut être créée ou transformée sans autorisation de l'autorité compétente (art. 22 al. 1 de la loi fédérale sur l’aménagement du territoire du 22 juin 1979 - LAT - RS 700 ; art. 1 al. 1 LCI).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5.2</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 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w:t>
      </w:r>
    </w:p>
    <w:p>
      <w:r>
        <w:rPr>
          <w:b/>
        </w:rPr>
        <w:t>E. 5.3</w:t>
      </w:r>
    </w:p>
    <w:p>
      <w:r>
        <w:t>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 Les ensembles du XIX e et du début du XX e siècles sont des zones à protéger au sens de l'art. 17 LAT. Ils font l'objet de dispositions particulières incluses dans la LCI, à savoir ses art. 89 à 93 (art. 28 et 29 al. 1 let. d LaLAT).</w:t>
      </w:r>
    </w:p>
    <w:p>
      <w:r>
        <w:rPr>
          <w:b/>
        </w:rPr>
        <w:t>E. 5.4</w:t>
      </w:r>
    </w:p>
    <w:p>
      <w:r>
        <w:t>Les art. 89 ss LCI prévoient la préservation de l'unité architecturale et urbanistique des ensembles du XIX e siècle et du début du XX 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L'art. 89 LCI pose le principe du but de la protection et confirme qu'il ne s'agit pas de protéger un quartier comme tel, ni de protéger un immeuble isolé (MGC 1983/II 2202 p. 2207). La qualification d'ensembles protégés procède d'une volonté d'unité et d'harmonie dans la conception de l'espace aménagé, dont les différents éléments forment un tout projeté et cohérent ( ATA/1366/2015 du 21 décembre 2015 consid. 4a et les arrêts cités ; MGC 1983/II 2202 p. 2207). Le législateur n'a pas estimé possible de décréter le maintien obligatoire de tous les immeubles à protéger. La protection conférée par les art. 89 ss LCI n'est ainsi pas absolue. La protection doit ainsi répondre au principe de la proportionnalité et implique une pesée des intérêts public et privé en présence. En édictant les dispositions légales des art. 89 ss LCI, le législateur a voulu avant tout préserver le caractère architectural et urbanistique des ensembles du XIX e et du début du XX e siècles et éviter des rénovations ou des transformations abusives. Il n'a nullement prétendu vouloir figer l'aspect des bâtiments dans le temps ( ATA/1366/2015 précité consid. 8 et les références citées). Sous réserve des dispositions spéciales des art. 89 à 93 LCI, les dispositions générales de la LCI sont applicables aux immeubles visés à l’art. 89 (art. 91 LCI). Les demandes d’autorisation, à l’exception de celles instruites en procédure accélérée, concernant des immeubles visés à l’art. 89 sont soumises, pour préavis, à la CMNS (art. 93 al. 1 LCI). Les préavis sont motivés (art. 93 al. 4 LCI).</w:t>
      </w:r>
    </w:p>
    <w:p>
      <w:r>
        <w:rPr>
          <w:b/>
        </w:rPr>
        <w:t>E. 5.5</w:t>
      </w:r>
    </w:p>
    <w:p>
      <w:r>
        <w:t>Depuis quelques décennies en Suisse, les mesures de protection du patrimoine ne s'appliquent plus uniquement à des monuments exceptionnels ou à des œuvres d'art mais visent des objets très divers du patrimoine architectural du pays, parce qu'ils sont des témoins caractéristiques d'une époque ou d'un style (Philip VOGEL, La protection des monuments historiques, 1982, p. 25). La jurisprudence a pris acte de cette évolution (ATF 126 I 219 consid. 2 p. 223 ; arrêt du Tribunal fédéral 1C_300/2011 du 3 février 2012 consid. 5.1.1 ; ATA/895/2023 du 22 août 2023 consid. 4.5 ; ATA/423/2023 du 25 avril 2023 consid. 5.1).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e siècle et la nécessité de sauvegarder un patrimoine plus récent, voire contemporain. Néanmoins, comme tout objet construit ne mérite pas une protection, il faut procéder à une appréciation d'ensemble, en fonction des critères objectifs ou scientifiques ( ATA/423/2023 précité consid. 5.1 et les arrêts cités).</w:t>
      </w:r>
    </w:p>
    <w:p>
      <w:r>
        <w:rPr>
          <w:b/>
        </w:rPr>
        <w:t>E. 5.6</w:t>
      </w:r>
    </w:p>
    <w:p>
      <w:r>
        <w:t>L’art. 3 al. 3 LCI prévoit notamment que les demandes d’autorisation sont soumises, à titre consultatif, au préavis des communes, des départements et des organismes intéressés.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 ATA/97/2019 du 29 janvier 2019 consid. 4d et les références citées).</w:t>
      </w:r>
    </w:p>
    <w:p>
      <w:r>
        <w:rPr>
          <w:b/>
        </w:rPr>
        <w:t>E. 5.7</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w:t>
      </w:r>
    </w:p>
    <w:p>
      <w:r>
        <w:rPr>
          <w:b/>
        </w:rPr>
        <w:t>E. 6</w:t>
      </w:r>
    </w:p>
    <w:p>
      <w:r>
        <w:t>Les installations de téléphonie mobile peuvent être soumises aux dispositions cantonales ou communales d'esthétique ou d'intégration (arrêt du Tribunal fédéral 1C_371/2020 du 9 février 2021 consid. 3.2 et les références citées;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 en particulier d'indiquer les raisons pour lesquelles elle considère qu'une construction ou une installation serait de nature à enlaidir le site (ATF 115 Ia 363 consid. 3b ; arrêt du Tribunal fédéral 1C_465/2010 du 31 mai 2011 consid. 3.2 et les arrêts cités). Les normes précitées doivent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Une intervention de l'autorité communale ou cantonale sur la base d'une clause d'esthétique ou de dispositions communales de portée analogue doit se justifier par un intérêt public prépondérant, tel que la protection d'un site ou d'un ensemble de bâtiments présentant des qualités esthétiques remarquables (ATF 101 Ia 213 consid. 6c ; arrêt du Tribunal fédéral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(art. 2 al. 3 LAT). L'autorité de recours doit toutefois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 145 I 52 consid. 3.6). Aussi,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6.1</w:t>
      </w:r>
    </w:p>
    <w:p>
      <w:r>
        <w:t>La forte demande de services de téléphonie mobile dans les zones urbaines nécessite la construction d'antennes de téléphonie mobile qui doivent dépasser les toits pour remplir leur fonction (arrêt du Tribunal fédéral 1C_118/2010 du 20 octobre 2010 consid. 6.4 et les références citées).</w:t>
      </w:r>
    </w:p>
    <w:p>
      <w:r>
        <w:rPr>
          <w:b/>
        </w:rPr>
        <w:t>E. 6.2</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LTC ou la LAT (arrêts du Tribunal fédéral 1A.22/2004 et 1P.66/2004 du 1 er juillet 2004 consid. 4.3 et les références citées).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7</w:t>
      </w:r>
    </w:p>
    <w:p>
      <w:r>
        <w:t>En l'espèce, les parties ne contestent pas – à juste titre – que le projet litigieux est prévu sur un bâtiment appartenant à un ensemble protégé du XIX e siècle et du début du XX e siècle, soit une zone à protéger au sens de la LAT, tel que recensée par le service de l'inventaire des monuments d’art et d’histoire. L'autorité intimée a refusé le projet litigieux en raison de son impact esthétique négatif sur le site, vu la hauteur des installations prévues qui dépasserait le point culminant du bâtiment (soit la verrière). Elle a également constaté l'impact négatif sur l'harmonie expressive et la cohérence de tout l'îlot comportant sept bâtiments protégés et accolés les uns aux autres, et que la recourante n'avait pas exposé les motifs faisant obstacle à une localisation sur un autre immeuble à proximité qui ne serait pas au bénéfice d'une mesure de protection. Enfin, elle faisait sien le préavis défavorable établi par la CMNS le 5 septembre 2022. Cette instance spécialisée a estimé que la présence de plusieurs éléments techniques – dont certains dépassaient le point culminant du bâtiment – et/ou venant s'accrocher à l'intérieur dans les murs de la cage d'escalier commune et traversant même la verrière n'était pas du tout acceptable. Même s'il semble que le département et le TAPI se soient trompés sur la hauteur des mâts des installations projetées, s'étant visiblement fiés aux jeux de plans du 2 septembre 2021 et non pas à ceux du 27 juillet 2022 – lesquels indiquent finalement des mâts à une hauteur de 22.95 m et non plus à 24.95 m –, il n'est pas contestable, toujours selon les plans les plus récents, que certains des éléments techniques dépasseraient toujours le point le plus haut du bâtiment fixé à 23.06 m (23.08 m selon le SITG). Indépendamment de la problématique de la visibilité du projet depuis l'espace public, laquelle n'apparaît en définitive pas déterminante comme retenu à juste titre par le TAPI, il n'est pas contestable que l'installation litigieuse altérera l'architecture du bâtiment, en raison notamment de sa structure imposante, ce d'autant plus que les mâts de 5 m traverseront la verrière, élément central de la toiture. Cette atteinte, qui ne saurait être considérée comme minime, sera d'autant plus importante que le bâtiment concerné possède des qualités architecturales indéniables, comme l'a relevé la CMNS, ce que l'on ne saurait remettre en question en l'absence d'éléments contraires pertinents. La péjoration de l'esthétique du bâtiment entraînera également un impact négatif sur les autres bâtiments faisant partie de l'ensemble et rompra leur harmonie, étant relevé que les toits des autres bâtiments de l'îlot présentent également des verrières. Or, les art. 89 ss LCI imposent de conserver l’unité architecturale et urbanistique de cet ensemble et, de facto , de limiter, dans la mesure du possible, les interventions sur ces bâtiments. En outre, il ressort des pièces du dossier, en particulier des photographies produites par la recourante, que l'installation litigieuse viendra affecter l'intérieur même du bâtiment, puisque deux mâts imposants seront scellés à l'intérieur du bâtiment autour de la cage d'escalier. Le caractère prétendument réversible de l'installation en cause ne change rien au fait que la présence des mâts à l'intérieur du bâtiment viendra altérer l'esthétique dudit bâtiment, notamment la cage d'escalier. Pour le surplus, la recourante se limite à opposer son appréciation à celle de l'autorité spécialisée chargée d'examiner la question de l'adéquation du projet avec l’unité architecturale et urbanistique du lieu considéré. Enfin, on ne saurait retenir que les différentes installations techniques dont se prévaut la recourante sur les toits des bâtiments environnants auraient un impact beaucoup plus important que les mâts d'antennes projetés. En effet, ces installations ne viennent pas transpercer les différentes verrières se trouvant sur lesdits toits, contrairement au projet de la recourante. Les antennes projetées ne peuvent donc pas être comparées avec les installations techniques se trouvant sur la toiture de ces différents bâtiments. Au vu de qui précède, le préavis de la CMNS est dûment justifié. L'autorité intimée était donc fondée à s'y référer pour retenir que le projet litigieux nuirait au caractère du site au sens de l'art. 15 LCI et porterait atteinte à son unité architecturale et urbanistique (art. 89 ss LCI).</w:t>
      </w:r>
    </w:p>
    <w:p>
      <w:r>
        <w:rPr>
          <w:b/>
        </w:rPr>
        <w:t>E. 8</w:t>
      </w:r>
    </w:p>
    <w:p>
      <w:r>
        <w:t>Reste à déterminer si l'application des dispositions précitées est en l'occurrence conforme à la législation fédérale sur les télécommunications. En d'autres termes, il s'agit de procéder à une pesée des intérêts en présence, soit l'intérêt public à la préservation de l'ensemble protégé et celui des habitants du quartier à disposer d'un réseau de téléphonie mobile de bonne qualité. Eu égard à la jurisprudence précitée, la pesée des intérêts à effectuer dépend en particulier du degré de protection du site ainsi que du degré d'atteinte qu'il subira en raison de l'installation de téléphonie mobile projetée. Comme vu précédemment, l'impact des antennes projetées sera important tant sur le bâtiment concerné que sur l'ensemble. La pesée des intérêts tient également compte de la nécessité ou non d'augmenter la couverture réseau dans la zone litigieuse. Même si elle n'a aucune obligation fondée sur le droit fédéral d'établir un besoin de couverture, il ne ressort pas du dossier que la couverture dans la zone serait si déficitaire qu'elle nécessiterait absolument l'installation d'antennes à l'emplacement litigieux, qui, au vu des raisons précédemment évoquées, n'apparaît manifestement pas approprié à cet effet, pas plus qu'elle ne démontre que l'installation se justifierait pour des raisons techniques. Pour le surplus, force est de constater que les cartes que la recourante a produites ne sont pas munies d'une empreinte officielle, de sorte que leur force probante doit être relativisée (notamment ATA/966/2023 du 5 septembre 2023 consid. 5 ; ATA/895/2023 précité consid. 6). Même si tel devait être le cas, elles ne laissent pas apparaître un manque de couverture du réseau téléphonique dont souffrirait le quartier concerné. Le SITG recense d'ailleurs plusieurs antennes en fonction à proximité de la parcelle sur laquelle la recourante souhaite implanter une antenne (au 8______ rue F______, 9______ rue G______ ou encore au 10______ rue H______) et d'autres en projet (au 11______ rue I______ ou encore 12______ rue J______). Il ressort au surplus de la carte produite par la recourante intitulée « Plan de la zone de recherche » que le 2______, rue D______ se trouve dans le cercle délimitant, selon ses explications, la distance à sauvegarder pour respecter les valeurs limites fixées par l'ordonnance sur la protection contre le rayonnement non ionisant du 23 décembre 1999 (ORNI - RS 814.710), ce qui signifie, a priori , que la station mobile en service située au 10______ rue H______ a une certaine portée sur le bâtiment sis 2______, rue D______ et ses environs. La recourante n'allègue au demeurant pas que des habitants se seraient plaints de problèmes de connexion ou de la mauvaise qualité du réseau. De plus, comme l'a relevé l'autorité intimée, au moins un autre bâtiment à proximité est susceptible de pouvoir accueillir l'installation litigieuse, étant relevé qu’il n’appartient pas à l’autorité judiciaire de déterminer lesquels, mais que le département a identifié quelques possibilités ( ATA/966/2023 précité consid. 5). En particulier, le bâtiment sis au 7______ ou encore celui du 13______, rue E______, qui ne fait pas partie d'un ensemble et bénéficie à tout le moins de mesures de protection moindres, voire inexistantes. De plus, selon le SITG, le bâtiment de huit niveaux hors-sol est d'une hauteur de 27.72 m permettant a priori un rayonnement adéquat. Contrairement à ce que soutient la recourante, l'immeuble en question donne également sur la rue E______. Il représente une solution alternative concrète, praticable et moins dommageable que celle envisagée, laquelle se justifie car l'implantation de l'antenne se heurte en l'occurrence à deux empêchements juridiques, à savoir la clause d'esthétique de l'art. 15 LCI et celle de protection du patrimoine des art. 89 ss LCI. Enfin, selon les échanges entre la recourante et le département, ce dernier lui a transmis le 7 septembre 2022 le préavis de la CMNS établi deux jours auparavant, lequel préconise une installation sur des constructions dénuées de valeur historico‑architecturale. Dans son courrier, le département a invité la recourante à se déterminer et lui indiquer si elle souhaitait modifier son projet ou obtenir une décision en l'état. Le 9 décembre 2022, la recourante a indiqué au département qu'elle maintenait son projet tel quel et a demandé à l'intimé d'instruire le dossier sur la base des éléments en sa possession. La recourante s'est ainsi montrée d'emblée fermée à toute solution alternative qui aurait pu être proposée par le département dans le cadre de l'instruction de sa demande d'autorisation de construire. Au vu de ce qui précède, en particulier en raison de l'atteinte esthétique importante portée au bâtiment concerné et à l'ensemble protégé ainsi que de l'existence d'au moins une solution alternative concrète moins dommageable et en l'absence de nécessité dûment établie d'augmenter la couverture du réseau dans le site concerné, l'intérêt public à la protection du patrimoine l'emporte sur ceux découlant de la législation sur les télécommunications. C’est en conséquence conformément à la loi et sans abuser de son pouvoir d’appréciation que l'autorité intimée a refusé la délivrance de l’autorisation de construire sollicitée. Le recours sera en conséquence rejeté.</w:t>
      </w:r>
    </w:p>
    <w:p>
      <w:r>
        <w:rPr>
          <w:b/>
        </w:rPr>
        <w:t>E. 9</w:t>
      </w:r>
    </w:p>
    <w:p>
      <w:r>
        <w:t>Vu l'issue du litige, un émolument de CHF 1'500.-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