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A/918/2021 vom 15. April 2021</w:t>
      </w:r>
    </w:p>
    <w:p>
      <w:r>
        <w:t>GE Cour de justice, 2021-04-15, FR</w:t>
      </w:r>
    </w:p>
    <w:p>
      <w:r>
        <w:rPr>
          <w:b/>
        </w:rPr>
        <w:t xml:space="preserve">Quelle: </w:t>
      </w:r>
      <w:r>
        <w:t>https://mcp.opencaselaw.ch/entscheid/ge_gerichte_A_918_2021</w:t>
      </w:r>
    </w:p>
    <w:p>
      <w:r>
        <w:t>FR: GE_GERICHTE A/918/2021 du 15 avril 2021</w:t>
      </w:r>
    </w:p>
    <w:p>
      <w:r>
        <w:t>IT: GE_GERICHTE A/918/2021 del 15 aprile 2021</w:t>
      </w:r>
    </w:p>
    <w:p>
      <w:pPr>
        <w:pStyle w:val="Heading2"/>
      </w:pPr>
      <w:r>
        <w:t>Volltext</w:t>
      </w:r>
    </w:p>
    <w:p>
      <w:r>
        <w:t>Genève Cour de justice (Cour de droit public) Chambre des assurances sociales 15.04.2021 A/918/2021</w:t>
      </w:r>
    </w:p>
    <w:p>
      <w:r>
        <w:t>A/918/2021 ATAS/332/2021 du 15.04.2021 ( LAA ) , IRRECEVABLE rÉpublique et canton de genÈve POUVOIR JUDICIAIRE A/918/2021 ATAS/332/2021 COUR DE JUSTICE Chambre des assurances sociales Arrêt du 15 avril 2021 3 ème Chambre En la cause Monsieur A______, domicilié ______, MAXILLY SUR LEMAN, France recourant contre CAISSE NATIONALE SUISSE D'ASSURANCE EN CAS D'ACCIDENTS - SUVA, Division juridique, Fluhmattstrasse 1, LUCERNE intimée ATTENDU EN FAIT Qu'en date du 10 février 2021, la Caisse nationale suisse d'assurance en cas d'accidents - SUVA a rendu une décision concernant Monsieur A______ (ci-après l'intéressé) ; Que par pli photocopié, ce dernier a interjeté recours auprès de la Cour de céans en date du 8 mars 2021 ; Que par courrier recommandé du 12 mars 2021, avisé mais non retiré par son destinataire, la Cour de céans, ayant constaté que le recours ne comportait pas la signature originale de l'intéressé, a accordé à celui-ci un délai au 26 mars 2021 pour y remédier, l'avisant qu'à défaut, son recours serait déclaré irrecevable ; Que le recourant n'a pas donné suite à cette demande.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 Que le droit de procédure exige qu'un acte de recours soit muni de la signature originale de son auteur, l'acte sur lequel la signature ne figure qu'en photocopie n'étant donc pas valable (cf. arrêt non publié du 9 avril 2001 dans la cause 1P.94/2001 , consid. 2a ; ATF 121 II 252 consid. 3 et 4a; 112 Ia 173 consid. 1) ; Que cette exigence fondamentale, qui découle de l'art. 13 CO, est également de mise en droit cantonal genevois (cf. arrêt 4P.71/2001 du 12 juin 2001 consid. 3a) ; Qu'en l'occurrence, le recourant, dûment rendu attentif aux conséquences de l'irrégularité affectant son acte de recours, n'a pas réparé celle-ci dans le délai imparti ; Que partant, son recours doit être déclaré irrecevable.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