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A/90/2023 vom 4. Juli 2023</w:t>
      </w:r>
    </w:p>
    <w:p>
      <w:r>
        <w:t>GE Cour de justice, 2023-07-04, FR</w:t>
      </w:r>
    </w:p>
    <w:p>
      <w:r>
        <w:rPr>
          <w:b/>
        </w:rPr>
        <w:t xml:space="preserve">Quelle: </w:t>
      </w:r>
      <w:r>
        <w:t>https://mcp.opencaselaw.ch/entscheid/ge_gerichte_A_90_2023</w:t>
      </w:r>
    </w:p>
    <w:p>
      <w:r>
        <w:t>FR: GE_GERICHTE A/90/2023 du 4 juillet 2023</w:t>
      </w:r>
    </w:p>
    <w:p>
      <w:r>
        <w:t>IT: GE_GERICHTE A/90/2023 del 4 luglio 2023</w:t>
      </w:r>
    </w:p>
    <w:p>
      <w:pPr>
        <w:pStyle w:val="Heading2"/>
      </w:pPr>
      <w:r>
        <w:t>Regeste</w:t>
      </w:r>
    </w:p>
    <w:p>
      <w:r>
        <w:t>DROIT DE LA FONCTION PUBLIQUE;FONCTIONNAIRE;ASSOCIATION;DÉBAT DU TRIBUNAL;PUBLICITÉ DE LA PROCÉDURE;LÉGALITÉ;SÉPARATION DES POUVOIRS;CLASSE DE TRAITEMENT;SALAIRE;INTERPRÉTATION(SENS GÉNÉRAL);POUVOIR D'APPRÉCIATION;INTERDICTION DE L'ARBITRAIRE;ÉGALITÉ DE TRAITEMENT | recours d'une association contre un arrêté du Conseil d'État rejetant le recours de cette même association contre la décision du Conseil d'État de colloquer les fonctions de maître d'éducation physique de l'enseignement secondaire et de maîtres et maîtresses spécialistes en éducation physique de l'enseignement primaire respectivement en classes 19 et 18. Dans la mesure où le législateur n'a pas réglé la manière de fixer le traitement des membres du personnel dont la fonction a été réévaluée après leur engagement et qui ont alors été positionnés dans une classe supérieur, le Conseil d'État pouvait, sans violer les principes de la légalité et de la séparation des pouvoirs, appliquer la solution retenue par le MIOPE, soit la méthode du coulissement. Pas de violation du principe d'égalité de traitement entre les anciens et les nouveaux membres de l'association, dans la mesure où l'expérience professionnelle est prise en compte, pour toutes les fonctions de l'État, au moment de l'engagement, puis par le versement d'annuités. De plus, l'État est libre de revoir en tout temps sa politique en matière de salaire et d'emploi. Recours rejeté | CEDH.6; Cst.5.al1; Cst.8; Cst.29; Cst-GE.2; Cst-GE.80; Cst-GE.109.al4; LPA.41; LTrait.2; LTrait.3; LTtrait.4; LTrait.5; LTrait.6; RTrait.8.al4; LTrait.11; LTrait.12; LTrait.13; LTrait.43; RTrait.2; RTrait.3; RTrait.8; RComEF.1.al1; RComEF.11</w:t>
      </w:r>
    </w:p>
    <w:p>
      <w:pPr>
        <w:pStyle w:val="Heading2"/>
      </w:pPr>
      <w:r>
        <w:t>Erwägungen</w:t>
      </w:r>
    </w:p>
    <w:p>
      <w:r>
        <w:rPr>
          <w:b/>
        </w:rPr>
        <w:t>E. 1</w:t>
      </w:r>
    </w:p>
    <w:p>
      <w:r>
        <w:t>Le recours a été interjeté en temps utile devant la juridiction compétente (art. 132 de la loi sur l'organisation judiciaire du 26 septembre 2010 - LOJ - E 2 05 ; art. 62 LPA). La qualité pour recourir a été reconnue à la recourante dans l'arrêt précité du 20 avril 2021 ( ATA/423/2021 ). Le recours est donc recevable.</w:t>
      </w:r>
    </w:p>
    <w:p>
      <w:r>
        <w:rPr>
          <w:b/>
        </w:rPr>
        <w:t>E. 2</w:t>
      </w:r>
    </w:p>
    <w:p>
      <w:r>
        <w:t>Le litige porte sur le bien-fondé de l’arrêté du 23 novembre 2022 par lequel l’autorité intimée a appliqué les règles du coulissement pour fixer le traitement des membres de la recourante à la suite d'une réévaluation de leur fonction.![endif]&gt;![if&gt;</w:t>
      </w:r>
    </w:p>
    <w:p>
      <w:r>
        <w:rPr>
          <w:b/>
        </w:rPr>
        <w:t>E. 3</w:t>
      </w:r>
    </w:p>
    <w:p>
      <w:r>
        <w:t>La recourante sollicite une audience de plaidoiries publique répondant aux exigences de l'art. 6 CEDH.![endif]&gt;![if&gt;</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Cela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cités).![endif]&gt;![if&gt;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 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(arrêt de la CourEDH Mutu et Pechstein contre Suisse du 2 octobre 2018 § 177 ; arrêt du Tribunal fédéral 8D_5/2019 précité consid. 3.2.2).</w:t>
      </w:r>
    </w:p>
    <w:p>
      <w:r>
        <w:rPr>
          <w:b/>
        </w:rPr>
        <w:t>E. 3.2</w:t>
      </w:r>
    </w:p>
    <w:p>
      <w:r>
        <w:t>En l'espèce, l’objet du litige porte sur une question de nature juridique qui n'apparaît pas particulièrement complexe, dans une affaire ne soulevant pas de question de crédibilité ni ne suscitant de controverse sur les faits. La recourante, qui ne dispose d’aucun droit à être entendue oralement, a eu l'occasion de faire valoir ses arguments et de produire toutes les pièces qu’elle a jugé nécessaires, tant dans le cadre de son recours que de sa réplique. La chambre administrative peut se prononcer de manière équitable et raisonnable sur la base des conclusions présentées par les parties et des documents.![endif]&gt;![if&gt; Partant, il ne sera pas donné suite à la demande d'audience de plaidoiries publique.</w:t>
      </w:r>
    </w:p>
    <w:p>
      <w:r>
        <w:rPr>
          <w:b/>
        </w:rPr>
        <w:t>E. 4</w:t>
      </w:r>
    </w:p>
    <w:p>
      <w:r>
        <w:t>La recourante invoque la violation des principes de la légalité et de la séparation des pouvoirs.![endif]&gt;![if&gt;</w:t>
      </w:r>
    </w:p>
    <w:p>
      <w:r>
        <w:rPr>
          <w:b/>
        </w:rPr>
        <w:t>E. 4.1</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devant avoir un fondement dans une loi ( ATA/43/2022 du 18 janvier 2022 consid. 5 ; Pierre MOOR/Alexandre FLÜCKIGER/Vincent MARTENET, Droit administratif, vol. I, 3 e éd., 2012, p. 621s, 624 et 650 ; Thierry TANQUEREL, Manuel de droit administratif, 2 e éd., 2018, n. 448, 467 ss et 476 ss).![endif]&gt;![if&gt;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ATA/928/2021 du 7 septembre 2021 consid. 6a).</w:t>
      </w:r>
    </w:p>
    <w:p>
      <w:r>
        <w:rPr>
          <w:b/>
        </w:rPr>
        <w:t>E. 4.2</w:t>
      </w:r>
    </w:p>
    <w:p>
      <w:r>
        <w:t>Au niveau fédéral, le principe de la séparation des pouvoirs est implicitement contenu dans la Constitution fédérale (Pierre MOOR/Alexandre FLÜCKIGER /Vincent MARTENET, op. cit.,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134 I 322 consid. 2.2 ; 119 Ia 28 consid. 3 ; 118 Ia 305 consid. 1a).![endif]&gt;![if&gt;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À moins d'une délégation expresse, le Conseil d'État ne peut pas poser de nouvelles règles qui restreindraient les droits des administrés ou leur imposeraient des obligations, même si ces règles étaient conformes au but de la loi (ATF 134 I 313 consid. 5.3 ; 133 II 331 consid. 7.2.2 ; 130 I 140 consid. 5.1 ; 114 Ia 286 consid. 5a ; ATA/52/2015 du 13 janvier 2015 consid. 2 ; ATA/168/2008 du 8 avril 2008 consid. 3a ; ACST/28/2018 du 12 décembre 2018 consid. 8b). Le mécanisme de la délégation législative est solidement ancré dans le droit public cantonal ( ATA/426/2023 du 25 avril 2023 consid. 3.2 ; ATA/52/2015 du 13 janvier 2015 consid. 2b ; ATA/585/2014 du 29 juillet 2014 consid. 4e). 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ATA/52/2015 du 13 janvier 2015 consid. 2c ; ATA/571/2014 du 29 juillet 2014 consid. 6 ; Andreas AUER/Giorgio MALINVERNI/Michel HOTTELIER, op. cit., p. 540 ss ; Pierre MOOR/Alexandre FLÜCKIGER/Vincent MARTENET, op. cit., vol. I, p. 244 ss et 251 ss ; Thierry TANQUEREL, op. cit., n. 323 ss et 371). Pour déterminer l'étendue du pouvoir réglementaire, il faut interpréter la loi quelle que soit la nature de la norme (Pierre MOOR/Alexandre FLÜCKIGER/Vincent MARTENET, op. cit., vol. I, p. 244 ss)</w:t>
      </w:r>
    </w:p>
    <w:p>
      <w:r>
        <w:rPr>
          <w:b/>
        </w:rPr>
        <w:t>E. 4.3</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cités).![endif]&gt;![if&gt; La lacune proprement dite sera comblée non seulement par les juges, qui feront acte de législateur en s'inspirant des buts et valeurs qui sous-tendent la législation en cause, mais aussi par l'administration, chargée d'appliquer la loi en premier lieu. On peut certes imaginer que la lacune soit comblée par voie d'ordonnance législative (Thierry TANQUEREL, op. cit., n. 442). S'agissant ensuite de la distinction entre lacune proprement dite et lacune improprement dite, la jurisprudence tend à assimiler à la première l'inconséquence manifeste de la loi, à savoir le cas où l'on arrive à la conclusion que si le législateur avait vu le problème, il aurait prévu une législation topique. Il apparaît ainsi que la jurisprudence admet des comblements de lacunes dans des cas où il aurait quand même été possible d'appliquer la loi sans cela, certes au prix d'un résultat insatisfaisant (ATF 123 II 225 ; ATA/298/2021 du 7 septembre 2021 consid. 8b).</w:t>
      </w:r>
    </w:p>
    <w:p>
      <w:r>
        <w:rPr>
          <w:b/>
        </w:rPr>
        <w:t>E. 4.4</w:t>
      </w:r>
    </w:p>
    <w:p>
      <w:r>
        <w:t>Dans le canton de Genève, la rémunération des membres du personnel de l’État de Genève est régie par la LTrait et le RTrait.![endif]&gt;![if&gt;</w:t>
      </w:r>
    </w:p>
    <w:p>
      <w:r>
        <w:rPr>
          <w:b/>
        </w:rPr>
        <w:t>E. 4.4.1</w:t>
      </w:r>
    </w:p>
    <w:p>
      <w:r>
        <w:t>Le traitement est en règle générale déterminé suivant l’échelle prévue à l’art. 2 LTrait, déclinée en classe et position (ou annuité).![endif]&gt;![if&gt; Conformément à l’art. 3 LTrait, le traitement maximum de chaque fonction est atteint par 22 augmentations annuelles successives (al. 3). Le calcul du droit à une annuité supplémentaire s'établit au 1er janvier de chaque année à l'exception du corps enseignant primaire, secondaire et tertiaire (calcul au 1er septembre de chaque année dès 2010) et du corps enseignant universitaire (1er août de chaque année). Les fractions d'année ne sont pas prises en compte dans le calcul du droit à une annuité supplémentaire (al. 4). Selon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 À teneur de l’art. 5 LTrait, l’autorité ou l’organe de nomination fixe la rémunération des membres du personnel dans un acte d’engagement ou de nomination, en application de l’échelle des traitements, du tableau de classement des fonctions et des principes posés à l’art. 11. Selon l’art. 6 LTrait, l’autorité ou organe d’engagement ou de nomination est le Conseil d'État, respectivement, pour le pouvoir judiciaire, la commission de gestion du pouvoir judiciaire et, pour les établissements hospitaliers, la commission administrative de l'établissement. En vertu de l’art. 11 al. 2 LTrait, l’autorité ou l’organe d’engagement ou de nomination fixe la durée de la période probatoire. Il détermine également le traitement initial en tenant compte, notamment, de l’âge de la personne candidate, des années consacrées à l’éducation des enfants, de l’absence de qualifications professionnelles requises ou, à l’inverse, de l’expérience professionnelle antérieure à l’engagement. L’art. 12 LTrait prévoit qu’au début de chaque année civile et après 6 mois au moins d’activité dans sa fonction, le membre du personnel a droit, jusqu’au moment où le maximum de la classe dans laquelle est rangée sa fonction est atteint, à l’augmentation annuelle prévue par l’échelle des traitements (al. 1). Demeurent réservés les cas où l’autorité d’engagement ou de nomination prononce une sanction disciplinaire affectant les augmentations de traitement (al. 2). À teneur de l’art. 13 LTrait, les promotions, soit les mutations à une nouvelle fonction de classe supérieure à celle exercée jusqu’alors se font compte tenu des exigences de la nouvelle fonction et de son rang hiérarchique (al. 1). Le nouveau traitement est celui attribué à la nouvelle fonction en conformité des tableaux de classement des fonctions et de l’échelle des traitements (al. 2). Ce traitement est fixé de façon à assurer des augmentations annuelles entières jusqu’au maximum de classe (al. 3). L’art. 43 LTrait précise que le Conseil d’État prend, par voie de règlement, les dispositions d’exécution de la présente loi.</w:t>
      </w:r>
    </w:p>
    <w:p>
      <w:r>
        <w:rPr>
          <w:b/>
        </w:rPr>
        <w:t>E. 4.4.2</w:t>
      </w:r>
    </w:p>
    <w:p>
      <w:r>
        <w:t>Selon l’art. 2 RTrait, la classe prévue pour la fonction est déterminée par le résultat de l’évaluation des fonctions. La liste des fonctions, mise à jour et approuvée par le Conseil d’État, est à disposition à l’office du personnel de l’État.![endif]&gt;![if&gt; L’art. 3 RTrait prévoit que le traitement initial correspond à la classe prévue pour la fonction, annuité 0 (al. 1). La personne candidate ayant acquis antérieurement à son engagement une expérience utile au poste qu'il doit occuper peut bénéficier d'une majoration du traitement initial correspondant à une annuité de la classe d'engagement par année d'expérience reconnue. Les années d'expérience sont prises en considération à partir de l'âge de 18 ans ; les fractions d'année n'entrent pas en ligne de compte (al. 2). Selon l’art. 8 RTrait, qui traite du changement de fonction avec promotion, la promotion donne lieu immédiatement à l’octroi d’une augmentation extraordinaire de traitement qui correspond (al. 4) : à une double annuité et un coulissement dans la nouvelle classe ou dans la classe la plus proche lorsque la nouvelle fonction est située deux classes au-dessus de la fonction antérieure (let. b).</w:t>
      </w:r>
    </w:p>
    <w:p>
      <w:r>
        <w:rPr>
          <w:b/>
        </w:rPr>
        <w:t>E. 4.4.3</w:t>
      </w:r>
    </w:p>
    <w:p>
      <w:r>
        <w:t>Conformément à l’art. 1 al. 1 RComEF, une commission de réexamen en matière d’évaluation des fonctions - la CREMEF - est instituée. Elle permet aux membres du personnel de l'État et des établissements publics médicaux de demander le réexamen des décisions relatives à l'évaluation des fonctions (rangement, cotation, classification).![endif]&gt;![if&gt; D’après l’art. 11 RComEF, après avoir vérifié la procédure et l'objectivité de l'analyse effectuée par l'OPE, la commission se prononce sur la décision contestée en formulant une proposition au Conseil d'État (al. 1). Le Conseil d'État statue en dernier ressort et communique sa décision à l'intéressé (al. 4).</w:t>
      </w:r>
    </w:p>
    <w:p>
      <w:r>
        <w:rPr>
          <w:b/>
        </w:rPr>
        <w:t>E. 4.4.4</w:t>
      </w:r>
    </w:p>
    <w:p>
      <w:r>
        <w:t>Le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2011consid. 2.3 ; ATA/1160/2021 du 2 novembre 2021 consid. 6b ; ATA/648/2020 du 7 juillet 2020 consid. 5b).![endif]&gt;![if&gt; Selon la fiche MIOPE n° 02.01.01, « Évaluation ou révision de classification de fonction », publiée le 15 juillet 2013 (disponible sur https://www.ge.ch/document/020101-evaluation-revision-classification-fonction et consultée le 21 juin 2023) une demande d'évaluation est initiée par les directions de services du département/de l’établissement en référence aux missions et prestations définies par le département de l’établissement (ch. 1) : lors de la création d'un nouveau poste ou d'une nouvelle fonction (let. a), lors de la mise en place d'une nouvelle structure affectant la répartition des tâches et la définition des fonctions (let. b), lors de l'évolution significative d'une famille professionnelle ou d'un cursus de formation (let. c) et lors de modifications significatives d'un poste (let. d). Le ch. 7 de la fiche MIOPE n° 02.01.01 précise que la modification de la situation du/de la/des titulaire-s concerné-e-s s'effectue par le biais d'un arrêté à la date de mise en application prévue, sur demande du département, établie sur la formule ad hoc de changement de situation (let. b) Les modalités d'application de la prise d'effet du résultat d'une évaluation sont les suivantes : les nouvelles classifications de fonctions acceptées dans le cadre de restructurations de services entiers ou partiels et de grands groupes prennent effet à la date fixée par le Conseil d'État (let. c n° 1). Les règles du coulissement s'appliquent pour fixer le nouveau traitement des titulaires concernés par l'évaluation (let. d). La fiche MIOPE n° 02.02.01 « Fixation du traitement en cas de promotion + formules à utiliser » (publiée le 20 février 2013 et consultée le 21juin 2023 sous https: // www.ge.ch / document / 020201- fixation- du traitement- cas- promotion-formules-utiliser) prévoit au ch. 2.5 que la règle du coulissement s'applique aux classements de fonction (nouvelle classification sans modification de l'appellation de la fonction) et aux changements de fonction (nouvelle classification avec changement d'appellation de la fonction) découlant d'une réévaluation de la fonction existante.</w:t>
      </w:r>
    </w:p>
    <w:p>
      <w:r>
        <w:rPr>
          <w:b/>
        </w:rPr>
        <w:t>E. 4.5</w:t>
      </w:r>
    </w:p>
    <w:p>
      <w:r>
        <w:t>La chambre de céans a déjà eu l’occasion de constater que la nouvelle affectation résultant de la révision des fonctions de toutes les activités informatiques de l’État, avec mutation dans une nouvelle fonction de classe supérieure, constituait une promotion. Dans cette affaire, le collaborateur ne disposait pas de la formation exigée pour le poste, de sorte que son traitement initial avait été fixé dans la classe 20 pour une durée de 4 ans (application du « code complémentaire 9 » permettant une diminution de la classe prévue pour la fonction en cas d’absence de la formation requise), annuité 0 (pénalité imputée au collaborateur dans le calcul de l’annuité initiale en raison de l’absence du titre exigé), alors que la fonction permettait au maximum un traitement en classe 21 et que l’intéressé disposait de cinq années d’expériences utiles au poste. Suite à la révision de toutes les fonctions informatiques, l’intéressé avait été affecté à une nouvelle fonction située en classe 21, qui n’exigeait plus le prérequis qui lui faisait précédemment défaut. La chambre administrative a jugé que le nouveau traitement faisait suite à une promotion et non au rétablissement dans la classe ordinaire du traitement de la fonction précédemment occupée, dont le cahier des charges était resté identique ( ATA/1211/2018 du 13 novembre 2018).![endif]&gt;![if&gt; Dans un autre arrêt, la chambre administrative a traité de la problématique de la réévaluation de la fonction des maîtres et maîtresses d'éducation physique du secondaire I et II portée par l’association défendant leurs intérêts. L’association considérait notamment que la réévaluation des fonctions concernées devait s'appliquer avec effet rétroactif au 1 er janvier 2005, soit lorsque le Conseil d'État avait débuté le processus de réévaluation. La chambre de céans a toutefois relevé, se référant à la fiche MIOPE 02.01.01 ch. 7 let. n° 1, que dans la mesure où cette disposition de la fiche MIOPE ne s'écartait pas de la loi et tendait à une application uniforme et égale du droit, il n'y avait pas lieu de mettre en cause la date de prise d'effet des nouvelles classifications se trouvant dans les extraits des procès-verbaux de la séance du Conseil d'État ( ATA/423/2021 du 20 avril 2021), ce que le Tribunal fédéral a confirmé (arrêt 8C_449/2022 du 3 février 2023 consid. 9.2) Dans une affaire dans laquelle les Établissements publics pour l'intégration avaient décidé de colloquer rétroactivement un collaborateur dans une fonction supérieure, dès lors que c’était cette fonction qu’il avait effectivement déployée et non celle pour laquelle il avait été engagé, la chambre administrative a notamment confirmé que le calcul des annuités et le mécanisme du coulissement dans la nouvelle classe suite à une promotion au sens de l'art. 8 al. 4 RTrait étaient conformes aux mécanismes applicables prévus par le RTrait et le MIOPE. Elle a également rejeté les griefs d’abus du pouvoir d’appréciation et de violation des principes de l'interdiction de l'arbitraire et de l'égalité de traitement formulés par le recourant ( ATA/1160/2021 du 2 novembre 2021). Dans deux arrêts rendus le 23 novembre 2021, la chambre de céans a jugé que l’application de la méthode du coulissement dans le cadre d’une réévaluation de fonction donnant lieu à une nouvelle collocation dans une classe supérieure, conformément aux dispositions applicables à la promotion, était conforme au droit et ne violait en particulier pas les principes de la légalité et de l’égalité de traitement. Après avoir rappelé que le MIOPE, qui ne consistait qu’à préciser les pratiques communes dans l’application des lois et règlements relatifs au personnel de l’État, était applicable pour autant qu’il ne soit pas contraire à la LTrait et au RTrait, ou à d’autres éventuelles dispositions légales, elle a constaté que ni la LTrait, ni le RTrait, ni le RComEF ne traitaient de la manière de fixer le nouveau traitement suite à une procédure de réévaluation, bien que ladite procédure soit expressément prévue par le RComEF. Suite à l’examen de la jurisprudence précitée, elle a conclu que lorsque la réévaluation d’une fonction donnait lieu à une nouvelle collocation dans une classe supérieure, tout comme lors de la collocation rétroactive d’un collaborateur dans une fonction supérieure effectivement exercée, le nouveau traitement était fixé selon les dispositions légales applicables à la promotion, dont l’art. 8 al. 4 RTrait qui prévoyait entre autres le système du coulissement ( ATA/1270/2021 et ATA/1271/2021 ).</w:t>
      </w:r>
    </w:p>
    <w:p>
      <w:r>
        <w:rPr>
          <w:b/>
        </w:rPr>
        <w:t>E. 5</w:t>
      </w:r>
    </w:p>
    <w:p>
      <w:r>
        <w:t>En l’espèce, la situation de la recourante, en particulier celle de ses membres, est analogue à celle jugée dans les arrêts ATA/1270/2021 et ATA/1271/2021 , puisque la modification du traitement de ces derniers ne fait pas suite à un changement des tâches exercées, mais à une réévaluation de leur fonction. ![endif]&gt;![if&gt; La recourante ne fait valoir aucun argument permettant de s’écarter de cette jurisprudence, qui n’a pas été contestée devant le Tribunal fédéral. Comme déjà observé, le législateur n’a pas réglé la manière de fixer le traitement des membres du personnel dont la fonction a été réévaluée après leur engagement et qui ont alors été positionnés dans une classe supérieure. La solution retenue par le MIOPE, qui consiste à appliquer la méthode prévue par le RTrait en cas de mutation à une nouvelle fonction de classe supérieure (promotion), n’est donc contraire à aucune disposition et n’apparaît pas critiquable, compte tenu notamment du pouvoir d’appréciation dont dispose l’autorité en matière de rémunération. L’autorité intimée a ainsi colloqué à bon droit les MEP en classe 19 et les MSEP en classe 18, en application de la méthode de coulissement et en tenant compte de la jurisprudence rendue après l'annulation de la décision du 19 août 2020 du Conseil d’État par la chambre de céans ( ATA/1270/2021 et ATA/1271/2021 du 23 novembre 2021). Cette manière de faire, conforme au MIOPE ainsi qu’aux dispositions légales auxquelles il renvoie et notamment à l’art. 8 al. 4 let. b RTrait, n’est pas critiquable. Partant, le grief de la violation des principes de la légalité et de la séparation des pouvoirs doit être écarté.</w:t>
      </w:r>
    </w:p>
    <w:p>
      <w:r>
        <w:rPr>
          <w:b/>
        </w:rPr>
        <w:t>E. 6</w:t>
      </w:r>
    </w:p>
    <w:p>
      <w:r>
        <w:t>La recourante se prévaut ensuite d’une violation du principe de l’égalité de traitement.![endif]&gt;![if&gt;</w:t>
      </w:r>
    </w:p>
    <w:p>
      <w:r>
        <w:rPr>
          <w:b/>
        </w:rPr>
        <w:t>E. 6.1</w:t>
      </w:r>
    </w:p>
    <w:p>
      <w:r>
        <w:t>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(8 al. 2 Cst.).![endif]&gt;![if&gt;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138 I 265 consid. 4.1 ; 131 I 1 consid. 4.2 ; 131 I 394 consid. 4.2 ; 127 I 185 consid. 5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131 I 1 consid. 4.2). Le Tribunal fédéral n’intervient que si, sur des points importants, les assimilations ou distinctions effectuées s’avèrent clairement injustifiées et insoutenables (ATF 136 I 297 consid. 6.1 ; 135 I 130 consid. 6.2 ; arrêts du Tribunal fédéral 2C_706/2012 du 16 avril 2013 consid. 5.1 ; 2C_491/2012 du 26 juillet 2012 consid. 5.1).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 ; arrêt du Tribunal fédéral 2P.181/2006 du 28 novembre 2006 consid. 2.2). Au principe d’égalité de traitement, l’art. 8 al. 2 Cst. ajoute une interdiction de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135 I 49 consid. 4.1 ; arrêt du Tribunal fédéral 8C_753/2011 du 11 octobre 2012 consid. 3.2.2).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consid. 5.3.1 et les références ; arrêt du Tribunal fédéral 8C_582/2013 du 2 mai 2014 consid. 6.2.2). D’autres circonstances, qui n’ont pas trait à la personne ou à l’activité du travailleur, peuvent également justifier, à tout le moins temporairement, des différences de salaire, telles une situation conjoncturelle rendant plus difficile le recrutement du personnel ou des contraintes budgétaires de la collectivité publique (arrêt du Tribunal fédéral 8C_969/2012 du 2 avril 2013 consid. 2.2 et les références citées).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consid. 5b ; arrêts du Tribunal fédéral 8C_991/2010 du 28 juin 2011 consid. 5.4 ; 8C_199/2010 du 23 mars 2011 consid. 6.3). En d’autres termes, sont permis tous les critères de distinction objectivement soutenables (arrêts du Tribunal fédéral 8C_582/2013 du 2 mai 2014 consid. 6.2.3 ; 8C_766/2013 du 17 octobre 2014 consid. 4.2).</w:t>
      </w:r>
    </w:p>
    <w:p>
      <w:r>
        <w:rPr>
          <w:b/>
        </w:rPr>
        <w:t>E. 6.2</w:t>
      </w:r>
    </w:p>
    <w:p>
      <w:r>
        <w:t>En l’occurrence, il n’est pas contesté que le traitement initial des membres de la recourante ayant postulé après la réévaluation de la fonction de MEP et ayant pu faire valoir des années d'expérience professionnelle sans avoir travaillé précédemment auprès de l’État de Genève, peut être plus élevé que celui des membres ayant été engagés avant la réévaluation de la fonction de MEP. ![endif]&gt;![if&gt; Cela étant, la chambre administrative a déjà jugé que ce raisonnement était applicable à toutes les fonctions de l’État, l’expérience professionnelle étant prise en compte au moment de l’engagement, puis par le versement d’annuités, sous réserve de la suspension de celles-ci par voie législative. Elle a en outre relevé que l'État était libre de revoir en tout temps sa politique en matière de salaire et d'emploi, et que les personnes qui entraient à son service devaient compter avec le fait que les dispositions réglant leur statut puissent faire l'objet ultérieurement de modifications ( ATA/1211/2018 du 13 novembre 2018 consid. 4c). On relèvera encore que ni la LTrait, ni le RTrait, ne prévoient que la fixation du traitement des personnes dont la fonction est réévaluée devrait être identique à celle d’employés nouvellement engagés. Pour ces motifs, le grief de la violation du principe de l’égalité de traitement doit être écarté. Au vu de ce qui précède, il apparaît que la décision litigieuse est conforme au droit et ne viole aucun des principes généraux du droit invoqués par la recourante. Le recours, mal fondé, sera rejeté.</w:t>
      </w:r>
    </w:p>
    <w:p>
      <w:r>
        <w:rPr>
          <w:b/>
        </w:rPr>
        <w:t>E. 7</w:t>
      </w:r>
    </w:p>
    <w:p>
      <w:r>
        <w:t>Vu l’issue du litige, un émolument de CHF 1’000.- sera mis à la charge de la recourante (art. 87 al. 1 LPA). Il ne sera alloué aucune indemnité de procédure (art. 87 al. 2 LPA).![endif]&gt;![if&gt; Compte tenu des conclusions du recours, la valeur litigieuse est supérieure à CHF 15'000.- (art. 112 al. 1 let. d de la loi fédérale sur le Tribunal fédéral du 17 juin 2005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