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A/908/2021 vom 23. August 2022</w:t>
      </w:r>
    </w:p>
    <w:p>
      <w:r>
        <w:t>GE Cour de justice, 2022-08-23, FR</w:t>
      </w:r>
    </w:p>
    <w:p>
      <w:r>
        <w:rPr>
          <w:b/>
        </w:rPr>
        <w:t xml:space="preserve">Quelle: </w:t>
      </w:r>
      <w:r>
        <w:t>https://mcp.opencaselaw.ch/entscheid/ge_gerichte_A_908_2021</w:t>
      </w:r>
    </w:p>
    <w:p>
      <w:r>
        <w:t>FR: GE_GERICHTE A/908/2021 du 23 août 2022</w:t>
      </w:r>
    </w:p>
    <w:p>
      <w:r>
        <w:t>IT: GE_GERICHTE A/908/2021 del 23 agosto 2022</w:t>
      </w:r>
    </w:p>
    <w:p>
      <w:pPr>
        <w:pStyle w:val="Heading2"/>
      </w:pPr>
      <w:r>
        <w:t>Erwägungen</w:t>
      </w:r>
    </w:p>
    <w:p>
      <w:r>
        <w:rPr>
          <w:b/>
        </w:rPr>
        <w:t>E. 2</w:t>
      </w:r>
    </w:p>
    <w:p>
      <w:r>
        <w:t>La LPGA, entrée en vigueur le 1 er janvier 2003, est applicable.![endif]&gt;![if&gt;</w:t>
      </w:r>
    </w:p>
    <w:p>
      <w:r>
        <w:rPr>
          <w:b/>
        </w:rPr>
        <w:t>E. 3</w:t>
      </w:r>
    </w:p>
    <w:p>
      <w:r>
        <w:t>Le délai de recours est de trente jours (art. 56 LPGA ; art. 62 al. 1 de la loi sur la procédure administrative du 12 septembre 1985 [LPA - E 5 10]). Interjeté dans la forme et le délai prescrits par la loi, le recours est recevable.![endif]&gt;![if&gt;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w:t>
      </w:r>
    </w:p>
    <w:p>
      <w:r>
        <w:rPr>
          <w:b/>
        </w:rPr>
        <w:t>E. 5</w:t>
      </w:r>
    </w:p>
    <w:p>
      <w:r>
        <w:t>Le litige porte sur le droit du recourant à une rente (au vu des conclusions du recours), dans le cadre de la nouvelle demande qu'il a déposée en 2019.![endif]&gt;![if&gt;</w:t>
      </w:r>
    </w:p>
    <w:p>
      <w:r>
        <w:rPr>
          <w:b/>
        </w:rPr>
        <w:t>E. 6</w:t>
      </w:r>
    </w:p>
    <w:p>
      <w:r>
        <w:t>L'assuré a droit à une rente lorsqu'il a présenté une incapacité de travail (art. 6 LPGA) d'au moins 40 % en moyenne durant une année sans interruption notable et qu'au terme de cette année, il est invalide (art. 8 LPGA) à 40 % au moins (cf. art. 28 al. 1 let. b et c LAI, en sa teneur en vigueur dès le 1 er janvier 2008 - 5 ème révision AI). En vertu de l'art. 28 al. 2 LAI, l'assuré a droit à une rente entière s'il est invalide à 70 % au moins, à un trois quarts de rente s'il est invalide à 60 % au moins, à une demi-rente s'il est invalide à 50 % au moins, ou à un quart de rente s'il est invalide à 40 % au moins.![endif]&gt;![if&gt;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![endif]&gt;![if&gt;</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VSI 2001 p. 223 consid. 2b ; arrêt du Tribunal fédéral des assurances I 786/04 du 19 janvier 2006 consid. 3.1).![endif]&gt;![if&gt;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(ATF 143 V 409 consid. 4.5.1).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8.2</w:t>
      </w:r>
    </w:p>
    <w:p>
      <w:r>
        <w:t>Cela étant,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3.2.2).![endif]&gt;![if&gt;</w:t>
      </w:r>
    </w:p>
    <w:p>
      <w:r>
        <w:rPr>
          <w:b/>
        </w:rPr>
        <w:t>E. 8.3</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références).![endif]&gt;![if&gt;</w:t>
      </w:r>
    </w:p>
    <w:p>
      <w:r>
        <w:rPr>
          <w:b/>
        </w:rPr>
        <w:t>E. 9</w:t>
      </w:r>
    </w:p>
    <w:p>
      <w:r>
        <w:t>![endif]&gt;![if&gt;</w:t>
      </w:r>
    </w:p>
    <w:p>
      <w:r>
        <w:rPr>
          <w:b/>
        </w:rPr>
        <w:t>E. 9.1</w:t>
      </w:r>
    </w:p>
    <w:p>
      <w:r>
        <w:t>Selon l'art. 87 al. 2 et 3 du règlement sur l’assurance-invalidité du 17 janvier 1961 (RAI - RS 831.201),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w:t>
      </w:r>
    </w:p>
    <w:p>
      <w:r>
        <w:rPr>
          <w:b/>
        </w:rPr>
        <w:t>E. 9.2</w:t>
      </w:r>
    </w:p>
    <w:p>
      <w:r>
        <w:t>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b).![endif]&gt;![if&gt;</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12</w:t>
      </w:r>
    </w:p>
    <w:p>
      <w:r>
        <w:t>En l’espèce, il convient tout d’abord de rappeler que dans sa décision entrée en force du 6 novembre 2008 – dernière décision reposant sur un examen matériel du droit aux prestations –, l’intimé avait rejeté la seconde demande de prestations du recourant, au motif que ce dernier, bien que totalement incapable d’exercer son activité antérieure de convoyeur de fonds, disposait néanmoins d’une pleine capacité de travail dans une activité adaptée d’employé de commerce, pour laquelle un reclassement lui avait été proposé, ce dont il résultait un degré d’invalidité de 2%. L’intimé avait fondé sa décision, entre autres, sur un rapport rédigé le 3 juillet 2007 par le Dr B______, ainsi qu’un rapport daté du 17 octobre 2007 et émanant du SMR, lequel concluait à une capacité de travail de 100% dans toute profession adaptée aux limitations fonctionnelles.![endif]&gt;![if&gt; Saisi en 2019 d'une nouvelle demande, l'intimé est entré en matière sur celle-ci et a diligenté une expertise pluridisciplinaire en médecine interne, psychiatrie et orthopédie, à l’issue de laquelle les experts ont conclu à une capacité de travail de 80% dans toute activité adaptée jusqu’au 22 septembre 2019, de 0% du 23 septembre 2019 au 30 novembre 2019, en raison d’une décompensation dépressive, puis de 70% dès le 1 er décembre 2019. Sur cette base, l'intimé, dans la décision attaquée, a rejeté la nouvelle demande. Dans son recours, l’assuré conteste (implicitement) la valeur probante du volet psychiatrique de l’expertise du CEMEDEX, qu’il juge « incohérent » et « lacunaire ». À son sens, il convient de se fonder sur les rapports de ses médecins, les Drs D______ et E______, lesquels ont conclu à une capacité de travail nulle. Le recourant souligne notamment que, sous l’angle psychiatrique, il est sujet à des épisodes dépressifs modérés, ainsi qu’à des troubles anxieux persistants. En outre, un trouble du déficit de l’attention avec hyperactivité (TDAH) lui a été diagnostiqué. Au regard de ses problèmes de santé, de ses nombreuses limitations, mais également de son absence de formation et de sa proximité avec l’âge de la retraite, l’exercice d’une profession lui paraît irréaliste, de sorte qu’il estime avoir droit à une rente entière d’invalidité.</w:t>
      </w:r>
    </w:p>
    <w:p>
      <w:r>
        <w:rPr>
          <w:b/>
        </w:rPr>
        <w:t>E. 13</w:t>
      </w:r>
    </w:p>
    <w:p>
      <w:r>
        <w:t>![endif]&gt;![if&gt;</w:t>
      </w:r>
    </w:p>
    <w:p>
      <w:r>
        <w:rPr>
          <w:b/>
        </w:rPr>
        <w:t>E. 13.1</w:t>
      </w:r>
    </w:p>
    <w:p>
      <w:r>
        <w:t>La chambre de céans constate que l'expertise pluridisciplinaire du CEMEDEX est fondée sur une anamnèse complète et détaillée, intégrant un résumé des pièces pertinentes versées au dossier, mais également sur les indications subjectives de l'assuré, des examens cliniques complets, ainsi qu'une évaluation consensuelle du cas. En outre, ses conclusions sont motivées, de sorte qu'elle satisfait aux réquisits jurisprudentiels topiques en matière de valeur probante.![endif]&gt;![if&gt;</w:t>
      </w:r>
    </w:p>
    <w:p>
      <w:r>
        <w:rPr>
          <w:b/>
        </w:rPr>
        <w:t>E. 13.2</w:t>
      </w:r>
    </w:p>
    <w:p>
      <w:r>
        <w:t>Il ressort de cette expertise qu’au plan orthopédique, le recourant présente essentiellement une gonarthose bilatérale (M174), au niveau du compartiment interne et fémoro-patellaire, une chondrocalcinose, ainsi qu’une rhizarhrose (M180) et une arthrose carpo-radiale bilatérales (M1993). En substance, l’expert en chirurgie orthopédique a exposé que le recourant ne travaillait plus depuis 1999, après avoir subi une distorsion du genou et de la cheville droite. Les radiographies effectuées dans le cadre de l’expertise démontraient que ses genoux avaient développé une arthrose, plus marquée du côté droit. Depuis une quinzaine d’années, il souffrait également de douleurs aux poignets, ce qui limitait l’accomplissement d’activités manuelles (force de préhension limitée). Enfin, depuis mars 2020, il présentait un syndrome du tunnel carpien à droite, pour lequel il devait être opéré. De ces troubles découlaient certaines limitations fonctionnelles (limiter la marche, éviter les positions agenouillées, accroupies, les montées et descentes d’échelles ou d’escaliers, nécessité de bouger les membres inférieurs en cas de positions statiques), lesquelles n’empêchaient toutefois pas l’exercice d’une activité adaptée à plein temps, moyennant une diminution de rendement de 20%, visant à permettre au recourant de prendre des pauses pour changer de position et de reposer ses mains lorsqu’il effectuait des travaux manuels. De son côté, l’expert en médecine interne a indiqué que le recourant présentait, au plan cardiaque, un ventricule gauche légèrement dilaté, dont la fonction contractive globale était discrètement diminuée (insuffisance mitrale et aortique). Un test d’effort diligenté par le Dr J______ avait pu être effectué complètement et témoignait d’une bonne aptitude physique. L’intéressé bénéficiait d’un suivi cardiologique régulier et était traité par un bêtabloquant, associé à un inhibiteur de l’ECA. Par ailleurs, il présentait une diverticulose pancolique, pour laquelle aucune chirurgie n’était préconisée et qui ne nécessitait qu’un traitement occasionnel. Ces atteintes, relevant de la médecine interne, n’entraînaient pas de limitations particulières et ne restreignaient pas la capacité de travail.![endif]&gt;![if&gt;</w:t>
      </w:r>
    </w:p>
    <w:p>
      <w:r>
        <w:rPr>
          <w:b/>
        </w:rPr>
        <w:t>E. 13.3</w:t>
      </w:r>
    </w:p>
    <w:p>
      <w:r>
        <w:t>En ce qui concerne le volet psychiatrique de l’expertise et sous l’angle du diagnostic (ATF 141 V 281 consid. 2.1.1 ; ATF 143 V 409 consid. 4.5.2), l’experte-psychiatre a retenu un trouble anxieux et dépressif mixte (F41.2), ainsi qu’une accentuation de traits de la personnalité (Z.73.1). Elle a également fait état d’un « possible » TDAH, toutefois sans formellement retenir ce diagnostic, dès lors qu’il existait une superposition de symptômes susceptibles d’évoquer aussi bien un TDAH qu’une accentuation de traits de la personnalité ; à cet égard, elle a encore précisé que le fait que le recourant ne décrivait ni difficultés d’apprentissage, ni difficultés comportementales durant l’enfance plaidait plutôt contre un TDAH. L’experte-psychiatre a par ailleurs écarté l’hypothèse d’un léger trouble affectif bipolaire, dans la mesure où le recourant n’avait jamais fait d’épisode maniaque franc, ni n’avait perdu le contact avec la réalité. S’agissant du diagnostic retenu par l’experte d’accentuation de traits de la personnalité, on relèvera d’emblée que, selon la jurisprudence,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Pour le reste, l’experte a précisé qu’il n’existait pas de maladie psychiatrique « au long cours », le recourant ayant pu travailler durant de nombreuses années et gérer ses comportement et vulnérabilités émotionnelles par des stratégies adaptatives efficaces. Le recourant ne présentait qu’un état anxio-dépressif depuis 2011, lequel avait motivé un suivi psychiatrique intégré chez le Dr E______ dès 2018, sans jamais nécessiter d’hospitalisation. Une décompensation psychiatrique (transitoire) s’était produite pendant deux mois dès le 23 septembre 2019, date du rapport du Dr E______, ensuite de quoi l’état de santé s’était amélioré. Au vu des constatations ressortant de l’expertise, on ne saurait déduire des diagnostics et des symptômes pertinents un degré de gravité important de la maladie psychique (cf. ATF 141 V 281 consid. 4.3.1.1).![endif]&gt;![if&gt; S'agissant du traitement (ATF 141 V 281 consid. 4.3.1.2), l’experte-psychiatre a précisé que, dès 2018, le recourant avait entamé un suivi psychiatrique auprès du Dr E______, jugé bénéfique. Selon l’experte, il existait encore un potentiel d’amélioration de la symptomatologie, moyennant une adaptation du traitement psychotrope, notamment par l’introduction de la Velafaxine ou de la Quiétapine à faible dose. Grâce à une telle adaptation, on pouvait s’attendre à une augmentation de la capacité de travail (de 10%) dans les six mois après le début de ladite adaptation. Par ailleurs, l’experte a précisé que le dosage sanguin de Trazodone avait montré un taux inférieur à la fourchette thérapeutique, en raison de la faible dose prescrite et de la courte demi-vie du produit. Au regard de ce qui précède, force est de constater que l’expertise ne met pas en évidence l’échec de tout traitement conforme aux règles de l'art, pas plus que l'échec d'une réadaptation conduite de manière adéquate, étant rappelé que l’assuré a jadis refusé de se soumettre à une mesure de reclassement qui lui avait été proposée par l’AI en tant qu’employé de commerce (parce qu’il estimait ne pas en avoir les capacité, bien que des tests psychotechniques avaient démontré le contraire, et qu’il ne souhaitait pas suivre une formation à plein temps afin de faire face à ses « obligations de père »), ce qui a conduit au rejet de sa première demande de prestations (cf. décision entrée en force du 22 novembre 2004, en relation avec la sommation du 21 octobre 2004). Concernant le contexte social et familial (ATF 141 V 281 consid. 4.3.3), l’expertise indique que le recourant présente un retrait social, lequel n’est toutefois que partiel. En effet, à teneur de l'expertise, malgré l’isolement qu’il déplore, le recourant garde de bons contacts avec son fils majeur ainsi qu’avec son ex-femme, avec laquelle il vit en colocation; il a en outre une nouvelle compagne, avec laquelle il entretient une relation suivie; de plus, le recourant continue de voir des amis, notamment dans le cadre d’un club de moto, quand bien même ces rencontres sont moins fréquentes qu’auparavant. Selon la chambre de céans, ces éléments ne permettent pas de conclure à un retrait social important et il convient d’admettre, avec les experts, que le recourant conserve des relations sociales suffisantes, malgré les restrictions dont il fait état. S'agissant des ressources (ATF 141 V 281 consid. 4.3.2), il ressort de l’expertise que le recourant présente quelques limitations fonctionnelles d’ordre psychique, à savoir des troubles de l’attention, une tolérance à la frustration diminuée, ainsi que des difficultés d’organisation et de gestion du stress, limitations dont l’experte-psychiatre a considéré qu’elles diminuaient le rendement de 30% au moment de l’expertise, de sorte que la capacité de travail s’élevait à 70%. Selon l’experte, on pouvait néanmoins s’attendre, moyennant une adaptation du traitement psychiatrique, à une amélioration de la capacité de travail jusqu’à 80%. L’experte a précisé que le recourant, titulaire d’un CFC, paraissait avoir une intelligence normale et une mémoire adéquate. Il demeurait capable de se déplacer seul, que ce soit en voiture, en moto ou en transports publics, ainsi que d’effectuer des tâches ménagères légères (vaisselle, lessive, etc.), des petites commissions, et de préparer les repas de midi pour son fils. Pour la CJCAS, ces éléments tendent à démontrer que le recourant dispose encore de ressources mobilisables, susceptibles d’être mises à profit dans le domaine professionnel. En ce qui concerne l’aspect de la « cohérence » (ATF 141 V 281 consid. 4.4), les experts n'ont pas mis en évidence de divergences significatives entre les symptômes décrits par le recourant et son comportement en situation d'examen. Cela étant, il ne ressort pas non plus de leurs constatations l’existence d’une limitation uniforme des niveaux d'activité dans tous les domaines comparables de la vie, le recourant demeurant autonome dans pratiquement toutes les fonctions de la vie quotidienne. Pour le reste, les experts ont dûment pris en considération les limitations psychiques et somatiques pour quantifier la capacité résiduelle de travail, qu’ils ont chiffrée à 70% (taux d’activité exigible de 100%, avec une diminution de rendement de 30%), tout en relevant l’existence d’options thérapeutiques susceptible d’augmenter encore légèrement ladite capacité à l’avenir. Enfin, on relèvera qu’à lui seul, l’échec du reclassement proposé par l’OAI en tant qu’employé de commerce au début des années 2000 ne permet pas de conclure à l’existence de lourdes souffrances, dans la mesure où cet échec résulte du refus du recourant de se soumettre à une mesure de réadaptation pourtant exigible, comme en atteste la décision du 22 novembre 2004, entrée en force.</w:t>
      </w:r>
    </w:p>
    <w:p>
      <w:r>
        <w:rPr>
          <w:b/>
        </w:rPr>
        <w:t>E. 13.4</w:t>
      </w:r>
    </w:p>
    <w:p>
      <w:r>
        <w:t>C'est le lieu de rappeler que lorsqu'une expertise repose sur une évaluation médicale complète, comme l'est celle du CEMEDEX,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3.2).![endif]&gt;![if&gt; En l'occurrence, ni le recourant, ni ses médecins ne mettent de tels éléments en évidence. Contrairement à ce que semble considérer le recourant, la problématique cardiaque pour laquelle il est suivi par le Dr J______ a été discutée par l'expert en médecine interne (pp. 8-9, 12 et 14 de l'expertise) et n'a donc pas été omise. Par ailleurs, le recourant ne peut être suivi lorsqu'il fait valoir que l'exercice d'une profession serait inenvisageable au regard de ses problèmes de santé, de ses limitations fonctionnelles, de son absence de formation et de sa proximité avec l'âge de la retraite. En effet, la capacité résiduelle de travail fixée à 70 % tient déjà compte de ses limitations somatiques et psychiques (qui correspondent essentiellement à des mesures d'épargne des membres inférieurs et, dans une moindre mesure, des poignets, ainsi qu'à la nécessité de privilégier des professions n'exigeant pas une forte concentration ni un travail de groupe), lesquelles ne sont pas de nature à l'empêcher de trouver une activité sur un marché du travail équilibré, par exemple une activité de bureau. À cet égard, on relèvera que,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 130 V 346 consid. 3.2; arrêt du Tribunal fédéral 9C_695/2010 du 15 mars 2011 consid. 5 et les arrêts cités). Par ailleurs, âgé de 56 ans au moment de l'expertise du CEMEDEX, le recourant n'avait pas atteint le seuil à partir duquel la jurisprudence considère généralement qu'il n'existe plus de possibilité réaliste d'exploiter la capacité résiduelle de travail sur un marché du travail supposé équilibré (arrêt du Tribunal fédéral 9C_695/2010 du 15 mars 2011 consid. 6.2 et les arrêts cités). On relèvera encore que, s'il est vrai que des facteurs tels que l'âge et le manque de formation jouent un rôle non négligeable pour déterminer dans un cas concret les activités que l'on peut encore raisonnablement exiger d'un assuré, le Tribunal fédéral a rappelé à maintes reprises qu'ils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381/06 du 30 avril 2007 consid. 5.2 et les références). Les avis des médecins du recourant ne permettent pas non plus de s'écarter de celui des experts : entendu en audience, le Dr E______ a expliqué qu'un épisode dépressif modéré n'entraînait une incapacité de travail que pour une durée limitée et qu'en l'occurrence, cet épisode dépressif avait commencé en novembre 2019 (avant quoi le recourant n'avait pas présenté un état dépressif caractérisé, mais plutôt un état réactionnel). C'était également en novembre 2019 que ce psychiatre avait augmenté l'antidépresseur à la dose minimale permettant une action antidépressive. Dès février 2020, l'état dépressif s'était amélioré de façon significative (même si quelques symptômes persistaient). Lors d'un entretien téléphonique avec l'experte-psychiatre, en août 2020, le Dr E______ a jugé adéquate une reprise d'activité à 50% "avec limitations". L'avis du Dr E______ converge donc avec celui de l'experte-psychiatre sur deux éléments essentiels, à savoir, d'une part, le caractère transitoire de l'épisode dépressif modéré et, d'autre part, l'exigibilité d'une reprise d'activité à temps partiel. Il ne remet donc pas en question l'avis de l'experte-psychiatre, étant précisé que le Dr E______ n’a pas cherché à étayer par une motivation circonstanciée son appréciation légèrement différente du taux de la capacité de travail. De son côté, le Dr I______ - qui a repris le suivi psychiatrique du recourant dès décembre 2020 - a notamment indiqué que le trouble dépressif récurrent était actuellement "en rémission", ce qui paraît corroborer le point de vue de l'experte-psychiatre quant au caractère transitoire de l'épisode dépressif. Le Dr I______ ne s'est pas déterminé clairement sur la date à partir de laquelle la capacité de travail du recourant était réduite et sur la façon dont celle-ci avait évolué, questions dont il a estimé qu'elles relevaient du domaine d'une expertise. Pour le reste, ce médecin a indiqué que l'évolution " fluctuante " de l'état de santé psychique était liée, entre autres, à une situation sociale précaire et aux incertitudes du recourant vis-à-vis de sa situation financière, soit à des facteurs psychosociaux, qui ne sont pas pertinents du point de vue des assurances sociales (ATF 127 V 299 consid. 5a). En outre, il a lié son pronostic pessimiste quant à une potentielle reprise d'activité au déconditionnement professionnel du recourant et à son âge, soit à des facteurs étrangers à l'invalidité, dont l'intimé n'a pas à répondre. Enfin, ce médecin n'a pas fait état non plus d'éléments objectifs qui pourraient avoir été ignorés par les experts, de sorte que son point de vue ne remet pas non plus en question les conclusions du CEMEDEX. Enfin, le Dr D______, également entendu en audience, a évalué la capacité de travail à 100% dans une activité adaptée, tout en soulignant la difficulté de trouver une profession tenant compte des limitations somatiques et psychiques du recourant. Son appréciation ne s'écarte pas fondamentalement de celle des experts et ne remet pas davantage en cause leurs conclusions.</w:t>
      </w:r>
    </w:p>
    <w:p>
      <w:r>
        <w:rPr>
          <w:b/>
        </w:rPr>
        <w:t>E. 13.5</w:t>
      </w:r>
    </w:p>
    <w:p>
      <w:r>
        <w:t>Au vu de ce qui précède, la chambre de céans retient que les experts ont apprécié de manière satisfaisante les indicateurs déterminants pour conclure à une capacité de travail de 70% (susceptible d’être augmentée à l’avenir jusqu’à 80%, moyennant une adaptation du traitement), compte tenu d’une diminution de rendement de 30%. À cet égard, on précisera qu’il n’y a pas lieu de s’écarter de l’appréciation consensuelle des experts concernant la capacité de travail et le rendement, laquelle résulte d’une évaluation globale intégrant aussi bien les aspects somatiques que psychiatriques, les experts ayant expressément exclu toute addition arithmétique des diminutions de rendement retenues dans les volets orthopédique et psychiatrique de l’expertise.![endif]&gt;![if&gt; Ceci exclut toute nécessité d'une éventuelle expertise judiciaire ou d'un éventuel complément d'expertise.</w:t>
      </w:r>
    </w:p>
    <w:p>
      <w:r>
        <w:rPr>
          <w:b/>
        </w:rPr>
        <w:t>E. 14</w:t>
      </w:r>
    </w:p>
    <w:p>
      <w:r>
        <w:t>![endif]&gt;![if&gt;</w:t>
      </w:r>
    </w:p>
    <w:p>
      <w:r>
        <w:rPr>
          <w:b/>
        </w:rPr>
        <w:t>E. 14.1</w:t>
      </w:r>
    </w:p>
    <w:p>
      <w:r>
        <w:t>Au vu de ce qui précède, c'est à bon droit que l'intimé s'est rallié aux conclusions de l'expertise du CEMEDEX. Il en résulte, au degré de la vraisemblance prépondérante, une capacité de travail nulle dans toute profession dès la date du rapport adressé à l’OAI par le Dr E______ (décompensation dépressive), puis de 70%, deux mois plus tard, dans toute activité adaptée aux limitations du recourant. ![endif]&gt;![if&gt; Bien que cela ne modifie en rien l’issue du litige, on relèvera incidemment que, contrairement à ce qu’ont retenu les experts, le Dr E______ a complété le questionnaire destiné à l’OAI le 1 er novembre 2019 (et non le 23 septembre 2019, date qui correspond en réalité à la date à laquelle le questionnaire a été imprimé par l’administration, en vue de le transmettre au Dr E______). Il en résulte que la période de deux mois pendant laquelle le recourant a été totalement incapable de travailler, en raison d’une décompensation dépressive, s’étend du 1 er novembre 2019 au 30 janvier 2020 (et non du 23 septembre au 30 novembre 2019, comme l’ont indiqué par erreur les experts en se référant à la date d’impression du questionnaire complété par le Dr E______), l’intéressé ayant ensuite recouvré, dès le 1 er février 2020, une capacité de travail de 70% dans toute activité adaptée.</w:t>
      </w:r>
    </w:p>
    <w:p>
      <w:r>
        <w:rPr>
          <w:b/>
        </w:rPr>
        <w:t>E. 14.2</w:t>
      </w:r>
    </w:p>
    <w:p>
      <w:r>
        <w:t>À l’issue du délai de carence d’un an, en 2020, l'intimé a arrêté le degré d'invalidité à 32%, en comparant le revenu sans invalidité (CHF 81’845.-) que le recourant aurait perçu en bonne santé selon son ex-employeur, en tenant compte de l'évolution des salaires, avec le revenu statistique d'invalide (CHF 55'922.-) qu'il aurait été en mesure de réaliser en exerçant à 70% une activité (adaptée) de type employé de commerce, selon la table statistique déjà utilisée dans la décision entrée en force de 2008 (tableau TA7, ligne 23 [autres activités commerciales et administratives], niveau 3 de l’Enquête suisse sur la structure des salaires [ESS] 2006, abattement de 10%), et en tenant compte de l’évolution des salaires jusqu’en 2020.![endif]&gt;![if&gt; Il n’y a pas lieu de revenir, dans le détail, sur le calcul des revenus avec et sans invalidité résultant de la décision attaquée, lesquels ne sont pas sérieusement contestés par le recourant. Dans ses écritures, l’intéressé se limite en effet à relever que, dans sa dernière demande de prestations, il a déclaré avoir perçu un revenu mensuel brut de CHF 5'500.-, dans le cadre de sa dernière activité exercée auprès de la Poste. Ce faisant, il ne démontre pas l’inexactitude du revenu sans invalidité retenu par l’intimé, lequel se fonde, comme le préconise la jurisprudence (ATF 129 V 222 consid. 4.3.1), sur le dernier salaire qu’il a obtenu, selon les indications fournies par son ex-employeur (cf. p. 225 du dossier de l’intimé) et en tenant compte de l’évolution des salaires jusqu’en 2020. En conclusion, il convient d’admettre qu’entre la décision entrée en force du 6 novembre 2008 et la décision litigieuse du 1 er février 2021, l’état de santé du recourant ne s’est pas péjoré dans une mesure suffisante pour ouvrir le droit à une rente, le taux d’invalidité étant demeuré inférieur à 40% (art. 28 al. 1 LAI). Le recours sera donc rejeté.</w:t>
      </w:r>
    </w:p>
    <w:p>
      <w:r>
        <w:rPr>
          <w:b/>
        </w:rPr>
        <w:t>E. 15</w:t>
      </w:r>
    </w:p>
    <w:p>
      <w:r>
        <w:t>Postérieurement à la décision du 1 er février 2021, l'état de santé du recourant pourrait s'être aggravé au plan cardiaque, le dossier ne permettant toutefois pas en l'état de se prononcer sur ce point. En effet, le bilan échocardiographique et le rapport du Dr J______ (datés des 15 et 19 février 2022), que le recourant a transmis dans le cadre de la présente procédure de recours, témoignent d’une fraction d’éjection de 39% – contre 43 % selon un "rapport d'épreuve d'effort" rédigé par le Dr J______ le 3 janvier 2019 – et d’une incapacité de travail évaluée à « au moins 50% » par ce cardiologue. Dans son avis du 28 mars 2022, le SMR semble concéder qu’une incapacité de travail de 50% pourrait être retenue, en présence d’une fraction d’éjection inférieure à 40%. ![endif]&gt;![if&gt;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 ATF 121 V 362 consid. 1b p. 366). En l’occurrence, dès lors que le constat d’une fraction d’éjection inférieure à 40% a été effectué en février 2022, soit postérieurement à la décision attaquée, Il n’y a pas lieu d’examiner, dans le cadre de la présente procédure, si cette aggravation justifie une révision de la décision attaquée pour l’avenir. L'aggravation constatée étant postérieure à la décision litigieuse, il incombera à l’intimé de rendre une nouvelle décision sur ce point, après avoir complété l’instruction s’il le juge nécessaire.</w:t>
      </w:r>
    </w:p>
    <w:p>
      <w:r>
        <w:rPr>
          <w:b/>
        </w:rPr>
        <w:t>E. 16</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