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A/901/2023 vom 11. Oktober 2023</w:t>
      </w:r>
    </w:p>
    <w:p>
      <w:r>
        <w:t>GE Cour de justice, 2023-10-11, FR</w:t>
      </w:r>
    </w:p>
    <w:p>
      <w:r>
        <w:rPr>
          <w:b/>
        </w:rPr>
        <w:t xml:space="preserve">Quelle: </w:t>
      </w:r>
      <w:r>
        <w:t>https://mcp.opencaselaw.ch/entscheid/ge_gerichte_A_901_2023</w:t>
      </w:r>
    </w:p>
    <w:p>
      <w:r>
        <w:t>FR: GE_GERICHTE A/901/2023 du 11 octobre 2023</w:t>
      </w:r>
    </w:p>
    <w:p>
      <w:r>
        <w:t>IT: GE_GERICHTE A/901/2023 del 11 ottobre 2023</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1.2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LPCC).![endif]&gt;![if&gt;</w:t>
      </w:r>
    </w:p>
    <w:p>
      <w:r>
        <w:rPr>
          <w:b/>
        </w:rPr>
        <w:t>E. 1.3</w:t>
      </w:r>
    </w:p>
    <w:p>
      <w:r>
        <w:t>Le 1 er janvier 2021 est entrée en vigueur la modification du 21 juin 2019 de la LPGA. Dans la mesure où le recours a été interjeté postérieurement au 1 er janvier 2021, il est soumis au nouveau droit (cf. art. 82a LPGA).![endif]&gt;![if&gt;</w:t>
      </w:r>
    </w:p>
    <w:p>
      <w:r>
        <w:rPr>
          <w:b/>
        </w:rPr>
        <w:t>E. 2</w:t>
      </w:r>
    </w:p>
    <w:p>
      <w:r>
        <w:t>Le litige porte sur la question de savoir si la recourante peut bénéficier d’une remise de l’obligation de restituer la somme de CHF 10'812.50 versée durant la période entre le 1 er février et 31 juillet 2022.![endif]&gt;![if&gt;</w:t>
      </w:r>
    </w:p>
    <w:p>
      <w:r>
        <w:rPr>
          <w:b/>
        </w:rPr>
        <w:t>E. 3</w:t>
      </w:r>
    </w:p>
    <w:p>
      <w:r>
        <w:t>![endif]&gt;![if&gt;</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3.2</w:t>
      </w:r>
    </w:p>
    <w:p>
      <w:r>
        <w:t>Au niveau cantonal, à teneur de l’art. 24 de la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2).![endif]&gt;![if&gt;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3.3</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2).![endif]&gt;![if&gt;</w:t>
      </w:r>
    </w:p>
    <w:p>
      <w:r>
        <w:rPr>
          <w:b/>
        </w:rPr>
        <w:t>E. 3.4</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 Tribunal fédéral a retenu une négligence grave excluant toute bonne foi dans le cas d’un assuré qui aurait pu déceler que la feuille de calcul comportait une erreur manifeste en faisant preuve de l’attention nécessaire, ce quand bien même il avait annoncé des revenus que le SPC avait omis de prendre en compte. Lorsqu'une prestation complémentaire n'est que légèrement trop élevée, l'attention requise et l'obligation de signaler l'erreur lors du contrôle des relevés sont moins strictes que dans le cas de la perception d'une prestation de plusieurs centaines de francs trop élevée chaque mois, qui devrait être constatée sans plus attendre (arrêt du Tribunal fédéral 9C_385/2013 du 19 septembre 2013 consid. 4.4). Il va de même pour un couple qui n’avait pas réagi à une décision erronée accroissant les prestations complémentaires versées, alors qu’il avait annoncé la perception d’une nouvelle rente devant aboutir à une diminution des prestations. Le Tribunal fédéral a relevé qu’un examen sommaire de la feuille de calcul, qui ne présentait aucune difficulté de lecture ou de compréhension, aurait permis à l’intéressé de constater que les revenus annoncés n’avaient pas été pris en considération. Le manque de vigilance de l’assuré, qui avait omis de contrôler la feuille de calcul et d’informer l’administration de l’erreur manifeste qu’elle venait de commettre, excluait sa bonne foi (arrêt du Tribunal fédéral 9C_189/2012 du 21 août 2012 consid. 4).</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w:t>
      </w:r>
    </w:p>
    <w:p>
      <w:r>
        <w:t>![endif]&gt;![if&gt;</w:t>
      </w:r>
    </w:p>
    <w:p>
      <w:r>
        <w:rPr>
          <w:b/>
        </w:rPr>
        <w:t>E. 5.1</w:t>
      </w:r>
    </w:p>
    <w:p>
      <w:r>
        <w:t>En l'espèce, l'intimé a requis de la recourante la restitution de la somme de CHF 10'812.50 par le biais d'une décision à présent définitive. La demande en restitution est liée à la prise en compte rétroactive de la rente AVS de la recourante, laquelle avait été omise par erreur par l’intimé dans le calcul des prestations à compter du 1 er février 2022. Il n'est pas contesté que la recourante a communiqué en temps voulu percevoir une telle rente. Cela étant, il lui appartenait de contrôler les plans de calculs joints à la décision, ce d'autant plus qu'il ressort de son opposition du 27 décembre 2022 qu'elle avait trouvé le montant octroyé élevé. Elle aurait pu ainsi constater que les plans de calculs concernant le mois de janvier 2022 incluaient une rente AVS, mais que ceux dès le 1 er février 2022 omettaient d'en tenir compte et que cela avait une conséquence directe et importante sur son droit aux prestations complémentaires, lequel ne lui était pas ouvert lorsque sa rente AVS était prise en compte, alors qu’il l’était dans le cas contraire.![endif]&gt;![if&gt;</w:t>
      </w:r>
    </w:p>
    <w:p>
      <w:r>
        <w:rPr>
          <w:b/>
        </w:rPr>
        <w:t>E. 5.2</w:t>
      </w:r>
    </w:p>
    <w:p>
      <w:r>
        <w:t>La recourante soutient avoir contacté par téléphone l’intimé pour s'assurer que le calcul de ses prestations était correct, ce qui lui aurait été confirmé par son interlocuteur. Elle n’a toutefois produit aucune pièce attestant ses dires. Quoi qu'il en soit, elle ne pouvait pas se contenter d'un simple appel téléphonique et d'une assurance générale que les calculs étaient contrôlés avant que les prestations soient accordées à leurs bénéficiaires. Elle aurait dû s’adresser par écrit à l’intimé.![endif]&gt;![if&gt;</w:t>
      </w:r>
    </w:p>
    <w:p>
      <w:r>
        <w:rPr>
          <w:b/>
        </w:rPr>
        <w:t>E. 5.3</w:t>
      </w:r>
    </w:p>
    <w:p>
      <w:r>
        <w:t>C'est donc à juste titre que l’intimé a considéré que la condition de la bonne foi n'était pas réalisée. ![endif]&gt;![if&gt;</w:t>
      </w:r>
    </w:p>
    <w:p>
      <w:r>
        <w:rPr>
          <w:b/>
        </w:rPr>
        <w:t>E. 5.4</w:t>
      </w:r>
    </w:p>
    <w:p>
      <w:r>
        <w:t>Les conditions de la bonne foi et de la situation difficile sont cumulatives. En d'autres termes, les deux doivent être réalisées pour que la remise de l'obligation de restituer puisse être acceptée. Cela signifie également que si l'une des conditions n'est pas remplie, il n'est pas nécessaire d'examiner l'autre. La situation économique de la recourante ne sera dès lors pas analysée, l'octroi d'une remise devant lui être refusée, sa bonne foi étant exclue.![endif]&gt;![if&gt;</w:t>
      </w:r>
    </w:p>
    <w:p>
      <w:r>
        <w:rPr>
          <w:b/>
        </w:rPr>
        <w:t>E. 6</w:t>
      </w:r>
    </w:p>
    <w:p>
      <w:r>
        <w:t>Infondé, le recours sera rejeté.![endif]&gt;![if&gt;</w:t>
      </w:r>
    </w:p>
    <w:p>
      <w:r>
        <w:rPr>
          <w:b/>
        </w:rPr>
        <w:t>E. 7</w:t>
      </w:r>
    </w:p>
    <w:p>
      <w:r>
        <w:t>Pour le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