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A/901/2021 vom 7. Dezember 2021</w:t>
      </w:r>
    </w:p>
    <w:p>
      <w:r>
        <w:t>GE Cour de justice, 2021-12-07, FR</w:t>
      </w:r>
    </w:p>
    <w:p>
      <w:r>
        <w:rPr>
          <w:b/>
        </w:rPr>
        <w:t xml:space="preserve">Quelle: </w:t>
      </w:r>
      <w:r>
        <w:t>https://mcp.opencaselaw.ch/entscheid/ge_gerichte_A_901_2021</w:t>
      </w:r>
    </w:p>
    <w:p>
      <w:r>
        <w:t>FR: GE_GERICHTE A/901/2021 du 7 décembre 2021</w:t>
      </w:r>
    </w:p>
    <w:p>
      <w:r>
        <w:t>IT: GE_GERICHTE A/901/2021 del 7 dicembre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Interjeté dans les délai et forme prescrits par la loi, le recours est recevable (art. 56ss LPGA).</w:t>
      </w:r>
    </w:p>
    <w:p>
      <w:r>
        <w:rPr>
          <w:b/>
        </w:rPr>
        <w:t>E. 2</w:t>
      </w:r>
    </w:p>
    <w:p>
      <w:r>
        <w:t>Est litigieuse en l’occurrence la question de savoir si le recourant a droit à la remise de l’obligation de restituer la somme de CHF 5'228.- et, en particulier, si l’omission d’annoncer à l’intimé qu’il ne reversait pas à son fils les rentes qui lui étaient destinées relève d’une négligence grave, excluant la bonne foi, comme l’a retenu l’intimé.</w:t>
      </w:r>
    </w:p>
    <w:p>
      <w:r>
        <w:rPr>
          <w:b/>
        </w:rPr>
        <w:t>E. 3</w:t>
      </w:r>
    </w:p>
    <w:p>
      <w:r>
        <w:t>Aux termes de l’art. 25 al. 1, 2 ème phrase, LPGA, la restitution ne peut être exigée lorsque l’intéressé était de bonne foi et qu’elle le mettrait dans une situation difficile.</w:t>
      </w:r>
    </w:p>
    <w:p>
      <w:r>
        <w:rPr>
          <w:b/>
        </w:rPr>
        <w:t>E. 3.1</w:t>
      </w:r>
    </w:p>
    <w:p>
      <w:r>
        <w:t>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w:t>
      </w:r>
    </w:p>
    <w:p>
      <w:r>
        <w:rPr>
          <w:b/>
        </w:rPr>
        <w:t>E. 3.2</w:t>
      </w:r>
    </w:p>
    <w:p>
      <w:r>
        <w:t>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l’autorité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(ci-après : DPC) relèvent que commet une négligence grave celui qui, lors de la demande de prestations, de l’examen des conditions du droit, ou du paiement de la prestation complémentaire indûment versée, ne fait pas preuve du minimum d’attention que l’on est en droit d’exiger de lui en fonction de ses compétences et de son degré de formation. Agit par négligence grave, la personne qui omet d’annoncer une modification de son revenu,obtenu sous forme de rente ou dans l’exercice d’une activité lucrative, ou qui ne contrôle pas - ou seulement à la légère - la feuille de calcul des prestations complémentaires et n’annonce pas une erreur de calcul qu’elle aurait facilement pu reconnaître (DPC ch. 4652.03).</w:t>
      </w:r>
    </w:p>
    <w:p>
      <w:r>
        <w:rPr>
          <w:b/>
        </w:rPr>
        <w:t>E. 4</w:t>
      </w:r>
    </w:p>
    <w:p>
      <w:r>
        <w:t>En l’occurrence, le recourant a indiqué, par l’intermédiaire de son assistant social, dans le cadre de sa demande de prestations complémentaires en 2008, qu’il allait avoir droit à une rente de la prévoyance professionnelle de CHF 3'044.- par an et à une rente de CHF 608.- pour son fils qu’il reverserait à la mère de ce dernier, dans la mesure où elle en avait la garde. Le recourant a en outre adressé son jugement de divorce par lequel il s’était engagé et avait été condamné à verser à la mère de son fils, B______, à titre de contribution d’entretien, la rente de la prévoyance professionnelle pour enfant en sus de la rente d’assurance-invalidité pour enfant. Dans la décision, ainsi que dans tous les plans de calcul que le recourant a reçus depuis 2008, figurait uniquement à titre de rente de prévoyance professionnelle le montant de CHF 3'044.-. Il a été découvert lors de la révision de 2019 que le recourant n’a jamais reversé la rente qu’il devait à son enfant et en a profité pour son propre compte. En outre, les taxations 2010 à 2017, obtenues lors de la révision du droit, mettent en évidence que tant le montant de sa propre rente de la prévoyance professionnelle que celui de la rente de son fils étaient supérieurs aux plans de calcul, ce dont le recourant n’a jamais fait part au SPC. Force est ainsi de constater que le recourant a indiqué à tort à l’intimé qu’il reverserait la rente d’enfant à la mère qui en avait la garde, comme il y était tenu sur la base du jugement de divorce. Il a en outre omis volontairement d’indiquer l’erreur contenue dans les plans de calcul du SPC qu’il recevait pourtant chaque année et qu’il avait l’obligation de vérifier. Sachant qu’il violait l’obligation contenue dans le jugement de divorce qu’il avait adressé au SPC en 2008 déjà, le recourant connaissait sa situation et ne pouvait que reconnaître l’erreur du SPC. Il ne peut dès lors pas être suivi lorsqu’il allègue avoir été de bonne foi. Il ne pouvait ignorer que le montant des rentes qu’il percevait réellement était pertinent pour le calcul des prestations complémentaires et n’a pu que constater année après année que le montant des plans de calcul était faux, le SPC ayant suivi ses premières déclarations, lesquelles étaient conformes à la teneur du jugement de divorce. Le recourant doit se voir imputer l’éventuelle erreur de son assistant social. Dans toutes hypothèses, il faut constater que le recourant a lui-même adressé sa demande de prestations au SPC ainsi que son jugement de divorce et n’a jamais pris la peine de dire que, contrairement à ce jugement et aux plans de calcul, il conservait pour son propre compte les prestations complémentaires. C’est dès lors à juste titre que le SPC a refusé de reconnaître au recourant la condition de la bonne foi. En effet, le recourant a volontairement violé ses obligations envers l’intimé et ne peut pas se prévaloir de la bonne foi. La deuxième condition de la remise étant cumulative, elle souffre de rester ouverte. Le recours est infondé. Il sera rejeté et la décision attaquée confirmée.</w:t>
      </w:r>
    </w:p>
    <w:p>
      <w:r>
        <w:rPr>
          <w:b/>
        </w:rPr>
        <w:t>E. 5</w:t>
      </w:r>
    </w:p>
    <w:p>
      <w:r>
        <w:t>Au vu du sort du recours, le recourant, qui a agi en personne, n’a pas droit à des dépens. 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