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A/89/2013 vom 25. April 2013</w:t>
      </w:r>
    </w:p>
    <w:p>
      <w:r>
        <w:t>GE Cour de justice, 2013-04-25, FR</w:t>
      </w:r>
    </w:p>
    <w:p>
      <w:r>
        <w:rPr>
          <w:b/>
        </w:rPr>
        <w:t xml:space="preserve">Quelle: </w:t>
      </w:r>
      <w:r>
        <w:t>https://mcp.opencaselaw.ch/entscheid/ge_gerichte_A_89_2013</w:t>
      </w:r>
    </w:p>
    <w:p>
      <w:r>
        <w:t>FR: GE_GERICHTE A/89/2013 du 25 avril 2013</w:t>
      </w:r>
    </w:p>
    <w:p>
      <w:r>
        <w:t>IT: GE_GERICHTE A/89/2013 del 25 aprile 2013</w:t>
      </w:r>
    </w:p>
    <w:p>
      <w:pPr>
        <w:pStyle w:val="Heading2"/>
      </w:pPr>
      <w:r>
        <w:t>Volltext</w:t>
      </w:r>
    </w:p>
    <w:p>
      <w:r>
        <w:t>Genève Cour de justice (Cour de droit public) Chambre des assurances sociales 25.04.2013 A/89/2013</w:t>
      </w:r>
    </w:p>
    <w:p>
      <w:r>
        <w:t>A/89/2013 ATAS/413/2013 du 25.04.2013 ( PC ) , REJETE En fait En droit RÉPUBLIQUE ET CANTON DE GENÈVE POUVOIR JUDICIAIRE A/89/2013 ATAS/413/2013 COUR DE JUSTICE Chambre des assurances sociales Arrêt du 25 avril 2013 3ème Chambre En la cause Madame K__________, domiciliée à MEYRIN c/o M. L__________, à GENEVE recourante contre SERVICE DES PRESTATIONS COMPLEMENTAIRES, DSE-SPC, route de Chêne 54, GENEVE intimé EN FAIT Madame K__________ (ci-après : la bénéficiaire) reçoit des prestations du SERVICE DES PRESTATIONS COMPLEMENTAIRES (SPC). Suite à un contrôle du dossier - initié à la suite de la communication de l'attestation du revenu déterminant le droit aux prestations sociales (RDU) du 14 mars 2012 -, le SPC a constaté qu’il ressortait de cette attestation et des avis de taxation fiscale de l'intéressée que celle-ci avait réalisé un revenu de 6'000 fr. en 2009 et de 3'000 fr. en 2010. Revenant sur ses décisions précédentes qui n’avaient pas pris en compte ces gains accessoires dans le revenu déterminant le droit aux prestations, le SPC a procédé à de nouveaux calculs et statué à nouveau, rétroactivement au 1er janvier 2009, par décision du 22 août 2012. Aux termes de celle-ci, le SPC a réclamé à sa bénéficiaire la restitution de 4'668 fr. La bénéficiaire s’est opposée à cette décision en expliquant que ces montants lui avaient été donnés par sa fille pour l'aide qu'elle lui accorde en gardant son fils aux heures des repas après l'école. Elle a allégué avoir affecté cet argent à l'achat de nourriture et de vêtements pour son petit-fils. La décision du 22 août 2012 a été confirmée le 14 décembre 2012. Le SPC a en effet considéré que la découverte de gains accessoires constituait un fait important puisque sa prise en compte conduisait à une diminution des prestations complémentaires dès janvier 2009. Il a rappelé l’obligation incombant à ses bénéficiaires de communiquer tout changement dans leur situation financière. Le SPC a relevé que la fille de sa bénéficiaire avait déclaré les sommes en questions à l’administration fiscale à titre de frais de garde effectifs, ce qui démontrait qu’elles n’étaient pas destinées uniquement à couvrir les frais de repas et d'habillement de l'enfant. Le SPC en a tiré la conclusion que c’était donc bien en contrepartie d'un service rendu que sa bénéficiaire avait reçu cet argent, lequel devait être considéré comme un gain accessoire d’ailleurs déclaré en tant que tel à l'administration fiscale cantonale (AFC). Le SPC a précisé qu'il se prononcerait par décision séparée, sur la demande de remise déposée par l'intéressée, une fois la décision en restitution entrée en force. Par écriture du 14 janvier 2013, l'assurée a interjeté recours auprès de la Cour de céans en répétant que l’argent avait servi à couvrir les frais de repas et d'habillement de son petit-fils et ne constituait en aucun cas le revenu d'un gardiennage. Invité à se déterminer, l'intimé, dans sa réponse du 8 février 2013, a conclu au rejet du recours. L’intimé persiste dans les considérations émises dans sa décision et répète que, dès lors que la fille de la recourante déclare les sommes à l'AFC à titre de frais de garde effectifs et que la recourante elle-même les déclare comme revenus, il en découle, au degré de vraisemblance prépondérante requis en matière d'assurances sociales, que la recourante a bel et bien reçu cet argent en contrepartie d'un service rendu. Peu importe, en définitive, l'affection de ces gains, la recourante étant libre d'en disposer à sa guise. En conséquence, à défaut d'une rectification des taxations fiscales de la recourante et de sa fille, le SPC conclut au rejet du recours. Une audience de comparution personnelle s'est tenue en date du 11 avril 2013, à laquelle ne se sont présentés ni la recourante ni son mandataire.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GE J 4 25). La compétence de la Cour de céans pour juger du cas d’espèce est ainsi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b) S’agissant des prestations complémentaires cantonales, l’art. 43 LPCC ouvre les mêmes voies de droit. c) En l’espèce, le recours a été déposé dans les forme et délai imposés par la loi, de sorte qu’il est recevable. 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 Le litige portant sur la question de savoir si c’est à juste titre que l’intimé réclame à sa bénéficiaire la restitution de 4'668 fr. Il s’agit plus particulièrement d’examiner si c’est à bon droit que l’intimé a considéré que les montants de 6'000 et 3’000 fr. remis à la bénéficiaire par sa fille en 2009 et 2010 constituaient un revenu. En matière de prestations complémentaires fédérales, l'art. 11 al. 1 let. a LPC prévoit que les revenus déterminants comprennent les deux tiers des ressources en espèces ou en nature provenant de l'exercice d'une activité lucrative, pour autant qu'elles excèdent annuellement 1000 fr. pour les personnes seules; pour les personnes invalides ayant droit à une indemnité journalière de l’AI, le revenu de l’activité lucrative est intégralement pris en compte. Les mêmes règles s’appliquent au niveau cantonal, puisque la LPCC y renvoie (cf. art. 5). La loi cantonale sur le revenu déterminant le droit aux prestations sociales (LRD; RS GE J 4 06) a pour objectif de définir les éléments entrant dans le calcul du revenu déterminant le droit aux prestations cantonales soumises à condition de revenu (art. 1 LRD). Or, l'art. 3 LRD prévoit que les éléments composant le revenu déterminant se définissent conformément à la législation fiscale genevoise, en particulier la loi sur l'imposition des personnes physiques du 27 septembre 2009 (LIPP ; RS GE D 3 08). Celle-ci prévoit en son art. 4 que le revenu devant être pris en compte comprend l'ensemble des revenus, notamment le produit de l'activité lucrative dépendante et indépendante (let. a et b). L'art. 19 I LIPP précise que sont imposables tous les revenus provenant de l'exploitation d'une entreprise commerciale, industrielle, artisanale, agricole ou sylvicole, et de l'exercice d'une profession libérale ou de toute autre activité lucrative indépendante. En l'espèce, il n’est pas contesté que la recourante a reçu de la part de sa fille les montants de 6'000 fr. en 2009 et de 3'000 fr. en 2010, qu’elle les a déclarés comme revenus à l’administration fiscale et que, de son côté, sa fille les a également annoncés à cette administration en tant que frais de garde. Ces montants doivent dès lors être qualifiés de ressources tirées d'une activité lucrative et donc de revenu déterminant à prendre en compte comme tel dans le calcul du droit aux prestations complémentaires. A l’instar de l’intimé, la Cour de céans constate en effet que ces sommes ont été versées à la recourante en contrepartie d’un service - la garde de son petit-fils - et qu’elles ont d’ailleurs été considérées comme telles par l’administration fiscale. Peu importe comment la recourante a utilisé cet argent. Qu’elle l’ait affecté aux besoins de son petit-fils plutôt qu’aux siens propres n’est pas pertinent pour trancher la question de savoir si l’on est en présence d’un revenu au sens légal. C’est donc à juste titre que l’intimé a qualifié ces montants de revenus. C’est également à juste titre qu’il a repris ses calculs des années 2009 et 2010, puisque, lorsqu’une modification importante des ressources du bénéficiaire intervient, la prestation doit être fixée conformément à la situation nouvelle (art. 9 al. 3 LPCC). On relèvera qu’en l’occurrence, les calculs de l’intimé ne sont pas contestés.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(al. 2).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L'obligation de restituer suppose,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En l’espèce, c’est en mars 2012 que l’intimé a découvert l’existence des revenus litigieux, lorsqu’il a pris connaissance de l’attestation du RDU. Sa décision du 22 août 2012, rendue quelques mois plus tard, est donc intervenue en temps utile. Par ailleurs, les conditions d’une reconsidération étaient bel et bien remplies dans la mesure où l’intimé a découvert postérieurement à sa décision que celle-ci était manifestement erronée puisque basée sur des données inexactes. L’intimé était donc légitimé à revenir sur ses décisions antérieures et à les modifier avec effet ex tunc - c'est-à-dire à réclamer à la recourante le montant indument perçu. Eu égard aux considérations qui précèdent, le recours est rejeté, étant précisé qu’ainsi que l’a expliqué l’intimé, la bonne foi de la recourante et sa situation financière seront cas échéant examinées dans le cadre de la procédure de remise, laquelle pourra être entamée lorsque la décision de restitution sera entrée en force (ATF 132 V 42 consid. 1.2; ATF non publié 8C_602/2007 du 13 décembre 2007).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