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A/894/2025 vom 7. Oktober 2025</w:t>
      </w:r>
    </w:p>
    <w:p>
      <w:r>
        <w:t>GE Cour de justice, 2025-10-07, FR</w:t>
      </w:r>
    </w:p>
    <w:p>
      <w:r>
        <w:rPr>
          <w:b/>
        </w:rPr>
        <w:t xml:space="preserve">Quelle: </w:t>
      </w:r>
      <w:r>
        <w:t>https://mcp.opencaselaw.ch/entscheid/ge_gerichte_A_894_2025</w:t>
      </w:r>
    </w:p>
    <w:p>
      <w:r>
        <w:t>FR: GE_GERICHTE A/894/2025 du 7 octobre 2025</w:t>
      </w:r>
    </w:p>
    <w:p>
      <w:r>
        <w:t>IT: GE_GERICHTE A/894/2025 del 7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60 al. 1 de la loi sur l’information du public, l’accès aux documents et la protection des données personnelles du 5 octobre 2001 - LIPAD ‑ A 2 08).</w:t>
      </w:r>
    </w:p>
    <w:p>
      <w:r>
        <w:rPr>
          <w:b/>
        </w:rPr>
        <w:t>E. 2</w:t>
      </w:r>
    </w:p>
    <w:p>
      <w:r>
        <w:t>Dans un grief formel qu’il convient d’examiner en premier lieu, les recourants se plaignent de la violation de leur droit d’être entendus.</w:t>
      </w:r>
    </w:p>
    <w:p>
      <w:r>
        <w:rPr>
          <w:b/>
        </w:rPr>
        <w:t>E. 2.1</w:t>
      </w:r>
    </w:p>
    <w:p>
      <w:r>
        <w:t>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2.2</w:t>
      </w:r>
    </w:p>
    <w:p>
      <w:r>
        <w:t>En l’espèce, il est vrai que la décision querellée est dépourvue de toute motivation, ce qui constitue un défaut qui devrait en principe entraîner son annulation. Les parties ont cependant eu l’occasion de connaître leurs positions lors de la médiation. Le PPDT a ensuite exprimé sa recommandation de façon motivée. L’intimé a rejeté la conclusion du PPDT concernant la convention et les contrats de bail sans autre explication. Les recourants ont développé leur argumentation autour de la notion de tâche publique. Ils ont enfin pu répondre dans leur réplique à l’argumentation déployée par la commune dans sa réponse. La question de savoir si la violation du droit d’être entendu des recourants a pu être réparée devant la chambre de céans souffrira de demeurer indécise, le recours devant être admis au fond, ainsi qu’il sera vu plus loin.</w:t>
      </w:r>
    </w:p>
    <w:p>
      <w:r>
        <w:rPr>
          <w:b/>
        </w:rPr>
        <w:t>E. 3</w:t>
      </w:r>
    </w:p>
    <w:p>
      <w:r>
        <w:t>Le litige a pour objet la conformité au droit de la décision de l’intimée de refuser aux recourants la production de la convention de partenariat et des baux à loyer.</w:t>
      </w:r>
    </w:p>
    <w:p>
      <w:r>
        <w:rPr>
          <w:b/>
        </w:rPr>
        <w:t>E. 3.1</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w:t>
      </w:r>
    </w:p>
    <w:p>
      <w:r>
        <w:rPr>
          <w:b/>
        </w:rPr>
        <w:t>E. 3.2</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ATA/427/2020 du 30 avril 2020 consid. 5 ; Mémorial du Grand Conseil [ci-après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3.3</w:t>
      </w:r>
    </w:p>
    <w:p>
      <w:r>
        <w:t>La LIPAD s'applique aux institutions, établissements et corporations de droit public cantonaux et communaux, ainsi que leurs administrations et les commissions qui en dépendent (art. 3 al. 1 let. c LIPAD).</w:t>
      </w:r>
    </w:p>
    <w:p>
      <w:r>
        <w:rPr>
          <w:b/>
        </w:rPr>
        <w:t>E. 3.4</w:t>
      </w:r>
    </w:p>
    <w:p>
      <w:r>
        <w:t>L’art. 24 LIPAD prévoit que toute personne, physique ou morale, a accès aux documents en possession des institutions, sauf exception prévue ou réservée par la LIPAD (al. 1). L’accès comprend la consultation sur place des documents et l’obtention de copies des documents (al. 2).</w:t>
      </w:r>
    </w:p>
    <w:p>
      <w:r>
        <w:rPr>
          <w:b/>
        </w:rPr>
        <w:t>E. 3.5</w:t>
      </w:r>
    </w:p>
    <w:p>
      <w:r>
        <w:t>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du règlement d'application de la loi sur l'information du public, l'accès aux documents et la protection des données personnelles du 21 décembre 2011 (RIPAD - A 2 08.01).</w:t>
      </w:r>
    </w:p>
    <w:p>
      <w:r>
        <w:rPr>
          <w:b/>
        </w:rPr>
        <w:t>E. 3.6</w:t>
      </w:r>
    </w:p>
    <w:p>
      <w:r>
        <w:t>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w:t>
      </w:r>
    </w:p>
    <w:p>
      <w:r>
        <w:rPr>
          <w:b/>
        </w:rPr>
        <w:t>E. 3.7</w:t>
      </w:r>
    </w:p>
    <w:p>
      <w:r>
        <w:t>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w:t>
      </w:r>
    </w:p>
    <w:p>
      <w:r>
        <w:rPr>
          <w:b/>
        </w:rPr>
        <w:t>E. 3.8</w:t>
      </w:r>
    </w:p>
    <w:p>
      <w:r>
        <w:t>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 Les tâches publiques sont déterminées par la Constitution et les lois et procèdent d'un choix politique.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w:t>
      </w:r>
    </w:p>
    <w:p>
      <w:r>
        <w:rPr>
          <w:b/>
        </w:rPr>
        <w:t>E. 3.9</w:t>
      </w:r>
    </w:p>
    <w:p>
      <w:r>
        <w:t>La jurisprudence distingue le patrimoine administratif et le patrimoine financier de l’État, précisant que lorsqu’il gère ce dernier, il agit comme un particulier et n’accomplit pas une tâche publique (arrêts du Tribunal fédéral 4A_250/2015 du 21 juillet 2015 consid. 4.1 ; 1C_379/2014 du 29 janvier 2015 consid. 5.3).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La gestion du patrimoine administratif a pour but la réalisation de tâches publiques ( ATA/1017/2022 précité consid. 6c et les arrêts cités).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w:t>
      </w:r>
    </w:p>
    <w:p>
      <w:r>
        <w:rPr>
          <w:b/>
        </w:rPr>
        <w:t>E. 3.10</w:t>
      </w:r>
    </w:p>
    <w:p>
      <w:r>
        <w:t>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w:t>
      </w:r>
    </w:p>
    <w:p>
      <w:r>
        <w:rPr>
          <w:b/>
        </w:rPr>
        <w:t>E. 3.11</w:t>
      </w:r>
    </w:p>
    <w:p>
      <w:r>
        <w:t>La loi fédérale sur le principe de la transparence dans l'administration du 17 décembre 2004 (LTrans - RS 152.3), non applicable en l’espèce,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 distorsions du marché et de faire perdre un avantage concurrentiel à l’entreprise concernée ( ATA/560/2015 précité consid. 11).</w:t>
      </w:r>
    </w:p>
    <w:p>
      <w:r>
        <w:rPr>
          <w:b/>
        </w:rPr>
        <w:t>E. 3.12</w:t>
      </w:r>
    </w:p>
    <w:p>
      <w:r>
        <w:t>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(ATF 142 II 268 consid. 5.2.2.1).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(ATF 142 II 268 consid. 5.2.3 ; arrêt du Tribunal fédéral 1B_450/2020 du 14 janvier 2021 consid. 3.5.1 et les arrêts cités). Dans tous les cas de figure, une référence générale à des secrets d’affaires ne suffit pas, le maître du secret devant toujours indiquer concrètement et de manière détaillée pour quel motif une information est couverte par le secret ( ATA/880/2021 du 31 août 2021 consid. 7c et les arrêts cités).</w:t>
      </w:r>
    </w:p>
    <w:p>
      <w:r>
        <w:rPr>
          <w:b/>
        </w:rPr>
        <w:t>E. 3.13</w:t>
      </w:r>
    </w:p>
    <w:p>
      <w:r>
        <w:t>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 ATA/39/2022 précité consid. 10a et l'arrêt cité).</w:t>
      </w:r>
    </w:p>
    <w:p>
      <w:r>
        <w:rPr>
          <w:b/>
        </w:rPr>
        <w:t>E. 3.14</w:t>
      </w:r>
    </w:p>
    <w:p>
      <w:r>
        <w:t>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ATA/1017/2022 précité consid. 7e et l'arrêt cité). La décision de donner un accès total, partiel ou différé à un document peut être assortie de charges lorsque cela permet de sauvegarder suffisamment les intérêts que l’art. 26 LIPAD commande de protéger (art. 27 al. 4 LIPAD).</w:t>
      </w:r>
    </w:p>
    <w:p>
      <w:r>
        <w:rPr>
          <w:b/>
        </w:rPr>
        <w:t>E. 3.15</w:t>
      </w:r>
    </w:p>
    <w:p>
      <w:r>
        <w:t>La décision de donner un accès total, partiel ou différé à un document peut être assortie de charges lorsque cela permet de sauvegarder suffisamment les intérêts que l’art. 26 LIPAD commande de protéger (art. 27 al. 4 LIPAD).</w:t>
      </w:r>
    </w:p>
    <w:p>
      <w:r>
        <w:rPr>
          <w:b/>
        </w:rPr>
        <w:t>E. 4</w:t>
      </w:r>
    </w:p>
    <w:p>
      <w:r>
        <w:t>En l’espèce, la commune a refusé de remettre la convention de partenariat et les contrats de bail. La commune fait tout d’abord valoir que l’affermage de la ferme ne relève pas de ses tâches publiques. Elle ne peut être suivie. L’historique de l’acquisition puis de la rénovation de la ferme dans le cadre d’un projet précédé d’une consultation de la population puis présenté à celle-ci comme devant répondre aux besoins de la population communale ainsi qu’à l’aménagement et au développement de la commune, être animé par un acteur local, présenter des produits locaux, offrir des espaces communs ainsi qu’un tea-room favorisant la sociabilité à l’échelle communale – constituent autant d’éléments établissant que le projet entre dans les tâches publiques de l’intimée. L’opération peut d’autant moins être considérée comme un simple investissement financier ou de rendement que la commune a souhaité exclure explicitement toute finalité « spéculative », par quoi il faut entendre que l’investissement ne devait pas poursuivre de but lucratif. La commune ne démontre pas que l’affermage du bâtiment dans le cadre d’un projet entrant dans ses tâches publiques, et prévoyant notamment des espaces communs à disposition de la population, comme par exemple une salle commune, un tea-room, un espace de travail et une bibliothèque, rendrait le cas d’espèce similaire aux autres contrats par lesquels elle a remis à bail des locaux commerciaux à des restaurateurs. Le fait que les contrats de bail concernant la ferme soient soumis au droit privé est sans effet sur la nature publique de la tâche qu’ils exécutent. L’affermage de la ferme relevant des tâches publiques de la commune, la documentation y afférente, tels la convention de partenariat et les baux à loyer, constituent des documents au sens de la LIPAD auxquels les recourants peuvent demander l’accès. La commune objecte que ces documents seraient couverts par le secret des affaires, ce qui ferait obstacle à leur transmission. La commune ne soutient pas que les contrats contiendraient des clauses de confidentialité – étant observé que de telles clauses ne sont pas en soi décisives. Elle ne dit rien de la convention de partenariat. S’agissant des baux, elle ne fait valoir aucun élément soumis au secret des affaires, sinon que la connaissance du tableau pour la fixation de la part variable du loyer donnerait accès au chiffre d’affaires des restaurateurs et serait couverte par le secret d’affaires. Selon les explications de la commune, le tableau stipulant la part variable du loyer prévoit des paliers en fonction du chiffre d’affaires, avec un loyer maximum. Il en résulte qu’à l’intérieur des paliers le chiffre d’affaires ne peut être déterminé que de manière approximative et qu’au-delà du plafond du loyer il ne peut plus être déterminé. Il paraît en outre peu vraisemblable, comme le font observer les recourants, que le projet initial portant sur la ferme soit comparable à l’affermage des autres cafés restaurants de la commune, a fortiori à des baux d’appartements, de sorte que les exploitants des autres commerces ne paraissent pas pouvoir tirer d’avantages concurrentiels de la connaissance, même approximative, du chiffre d’affaires de F______ et de ses sous-traitants, ni d’ailleurs d’arguments pour renégocier leurs baux. La commune fait valoir que le loyer annuel fixe et le loyer maximum ont été divulgués et que le produit de la location apparait dans ses comptes annuels. Cela ne permet pas encore de savoir de quelle manière la commune a accepté de tenir compte du chiffre d’affaires pour le rendement de la ferme, que ce soit en relation avec sa volonté affichée d’exclure tout caractère spéculatif pour son investissement ou avec le projet initial d’assurer à la population des prestations qu’elle appelait de ses vœux. Enfin, il n’est pas contesté que F______ a dans un premier temps accepté la remise du contrat de bail, avant de se raviser, probablement à la suite de l’intervention de la commune. La commune fait encore valoir que l’intention des recourants serait de faire fermer le restaurant installé dans la ferme, et que l’accès aux documents serait sans effet sur la lutte contre les nuisances, notamment sonores. Les motifs pour lesquels les recourants demandent l’accès aux documents sont sans pertinence pour l’issue du litige – étant observé qu’il n’est pas soutenu que les recourants seraient de mauvaise foi ou commettraient un abus de droit. Au vu des éléments qui précèdent, l’intérêt des recourants d’obtenir l’accès aux documents réclamés doit l’emporter sur l’intérêt, très théorique, à la protection du secret d’affaires invoqué par la commune. Cette solution est par ailleurs conforme à la recommandation du PPDT. Le recours sera admis et il sera ordonné à la commune de transmettre les documents aux recourants.</w:t>
      </w:r>
    </w:p>
    <w:p>
      <w:r>
        <w:rPr>
          <w:b/>
        </w:rPr>
        <w:t>E. 5</w:t>
      </w:r>
    </w:p>
    <w:p>
      <w:r>
        <w:t>Vu l’issue du litige, aucun émolument ne sera perçu et aucune indemnité de procédure ne sera alloués aux recourants, qui ne soutiennent pas avoir exposé des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