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A/890/2023 vom 23. Juli 2024</w:t>
      </w:r>
    </w:p>
    <w:p>
      <w:r>
        <w:t>GE Cour de justice, 2024-07-23, FR</w:t>
      </w:r>
    </w:p>
    <w:p>
      <w:r>
        <w:rPr>
          <w:b/>
        </w:rPr>
        <w:t xml:space="preserve">Quelle: </w:t>
      </w:r>
      <w:r>
        <w:t>https://mcp.opencaselaw.ch/entscheid/ge_gerichte_A_890_2023</w:t>
      </w:r>
    </w:p>
    <w:p>
      <w:r>
        <w:t>FR: GE_GERICHTE A/890/2023 du 23 juillet 2024</w:t>
      </w:r>
    </w:p>
    <w:p>
      <w:r>
        <w:t>IT: GE_GERICHTE A/890/2023 del 23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demandent la disjonction de la procédure entre, d'une part, B______ et ses enfants mineurs, et d'autre part, A______ au motif que les faits qui pourraient être reprochés à ce dernier sur le plan pénal et pour ses dettes accumulées ne concernaient pas ses enfants et qu'ils n'en étaient pas responsables.</w:t>
      </w:r>
    </w:p>
    <w:p>
      <w:r>
        <w:rPr>
          <w:b/>
        </w:rPr>
        <w:t>E. 2.1</w:t>
      </w:r>
    </w:p>
    <w:p>
      <w:r>
        <w:t>Aux termes de l’art. 70 al. 1 LPA, l'autorité peut, d'office ou sur requête, joindre en une même procédure des affaires qui se rapportent à une situation identique ou à une cause juridique commune.</w:t>
      </w:r>
    </w:p>
    <w:p>
      <w:r>
        <w:rPr>
          <w:b/>
        </w:rPr>
        <w:t>E. 2.2</w:t>
      </w:r>
    </w:p>
    <w:p>
      <w:r>
        <w:t>En l'espèce, la situation des recourants et de leurs enfants mineurs – soit une famille nucléaire vivant sous le même toit – doit s’apprécier dans son ensemble, de sorte que la demande de disjonction doit être rejetée.</w:t>
      </w:r>
    </w:p>
    <w:p>
      <w:r>
        <w:rPr>
          <w:b/>
        </w:rPr>
        <w:t>E. 3</w:t>
      </w:r>
    </w:p>
    <w:p>
      <w:r>
        <w:t>Le litige porte sur la conformité au droit de la décision de l’OCPM du 2 février 2023, confirmée par le TAPI, refusant le renouvellement de l'autorisation de séjour des recourants et de leurs enfants mineurs, et prononçant leur renvoi de Suisse.</w:t>
      </w:r>
    </w:p>
    <w:p>
      <w:r>
        <w:rPr>
          <w:b/>
        </w:rPr>
        <w:t>E. 3.1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3.2</w:t>
      </w:r>
    </w:p>
    <w:p>
      <w:r>
        <w:t>Aux termes de l’art. 33 al. 1 à 3 LEI,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LEI (al. 3). Pour fixer la durée de validité de l’autorisation de séjour et de sa prolongation, les autorités tiennent compte de l’intégration de l’étranger (al. 4). L'art. 30 al. 1 let. b LEI permet de déroger aux conditions d'admission en Suisse, telles que prévues aux art. 18 à 29 LEI, notamment aux fins de tenir compte des cas individuels d'une extrême gravité ou d'intérêts publics majeurs.</w:t>
      </w:r>
    </w:p>
    <w:p>
      <w:r>
        <w:rPr>
          <w:b/>
        </w:rPr>
        <w:t>E. 3.3</w:t>
      </w:r>
    </w:p>
    <w:p>
      <w:r>
        <w:t>À teneur de l'art. 31 al. 1 OASA,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w:t>
      </w:r>
    </w:p>
    <w:p>
      <w:r>
        <w:rPr>
          <w:b/>
        </w:rPr>
        <w:t>E. 3.4</w:t>
      </w:r>
    </w:p>
    <w:p>
      <w:r>
        <w:t>L’art. 62 al. 1 LEI prévoit que l’autorité compétente peut révoquer une autorisation, à l’exception de l’autorisation d’établissement, ou une autre décision fondée sur la présente loi, dans les cas suivants : a) si l’étranger ou son représentant légal a fait de fausses déclarations ou a dissimulé des faits essentiels durant la procédure d’autorisation ; b) l’étranger a été condamné à une peine privative de liberté de longue durée (ce par quoi la jurisprudence entend une peine dépassant un an d'emprisonnement : ATF 139 I 145 consid. 2.1 ; 139 II 65 consid. 5.1 ; arrêt du Tribunal fédéral 2D_33/2022 du 22 février 2023 consid. 2.3) ou a fait l’objet d’une mesure pénale prévue aux art. 59 à 61 ou 64 CP ; c) il attente de manière grave ou répétée à la sécurité et l’ordre publics en Suisse ou à l’étranger, les met en danger ou représente une menace pour la sécurité intérieure ou extérieure de la Suisse ; d) il ne respecte pas les conditions dont la décision est assortie ; e) lui‑même ou une personne dont il a la charge dépend de l’aide sociale. Cette dernière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 ; 2C_633/2018 du 13 février 2019 consid. 6.2).</w:t>
      </w:r>
    </w:p>
    <w:p>
      <w:r>
        <w:rPr>
          <w:b/>
        </w:rPr>
        <w:t>E. 3.5</w:t>
      </w:r>
    </w:p>
    <w:p>
      <w:r>
        <w:t>Selon l'art. 77a al. 1 let. a et b OASA, il y a notamment non-respect de la sécurité et de l'ordre publics lorsque la personne concernée viole des prescriptions légales ou des décisions d'une autorité, ou qu'elle s’abstient volontairement d’accomplir des obligations de droit public ou privé. La sécurité et l'ordre publics sont mis en danger lorsque des éléments concrets indiquent que le séjour de la personne concernée en Suisse conduira selon toute vraisemblance au non-respect de la sécurité et de l'ordre publics (art. 77a al. 2 OASA). En règle générale, une personne attente de manière grave à l'ordre public au sens de l'art. 62 al. 1 let. c LEI, lorsque ses actes lèsent ou compromettent des biens juridiques particulièrement importants comme l'intégrité corporelle, physique ou sexuelle (arrêt du Tribunal fédéral 2C_107/2021 du 1 er juin 2021 consid. 4). Des condamnations pénales mineures n'excluent pas forcément d'emblée la réalisation de l'intégration (arrêts du Tribunal fédéral 2C_797/2022 du 22 mars 2023 consid. 3.3.2 ; 2C_145/2022 du 6 avril 2022 consid. 6.3 ; 2C_541/2019 du 22 janvier 2020 consid. 3.4.1 et les arrêts cités). La répétition d'infractions et de condamnations peut néanmoins démontrer que l'étranger ne se laisse pas impressionner par les mesures de droit pénal et qu'il ne possède ni la volonté ni la capacité de respecter à l'avenir l'ordre juridique (ATF 139 I 16 consid. 2.1 ; arrêts du Tribunal fédéral 2C_377/2022 du 28 août 2023 consid. 3.3 ; 2C_614/2021 du 18 mars 2022 consid. 3.2). Il y a atteinte à la sécurité et à l’ordre publics en cas de violation grave ou répétée de prescriptions légales ainsi que de décisions d’autorités et en cas de non‑accomplissement volontaire d’obligations de droit public ou privé (manquement au paiement de l’impôt, accumulation de dettes; art. 77a al. 1 let. a et b OASA). Lorsque les actes isolés ne justifient pas à eux seuls une révocation mais que leur répétition indique que la personne en question n’est pas prête à se conformer à l’ordre en vigueur, on peut également considérer que c’est le cas (Directives LEI, domaine des étrangers, état au 1 er avril 2024, ch. 8.3.1.3).</w:t>
      </w:r>
    </w:p>
    <w:p>
      <w:r>
        <w:rPr>
          <w:b/>
        </w:rPr>
        <w:t>E. 3.6</w:t>
      </w:r>
    </w:p>
    <w:p>
      <w:r>
        <w:t>Aux termes de l'art. 8 CEDH, toute personne a notamment droit au respect de sa vie privée et familiale. 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ATA/1059/2021 du 12 octobre 2021 consid. 5b). Les relations familiales qui peuvent fonder, en vertu de l'art. 8 par. 1 CEDH, un droit à une autorisation de police des étrangers sont avant tout les rapports entre époux ainsi qu'entre parents et enfants mineurs vivant ensemble (ATF 135 I 143 consid. 1.3.2 ; arrêt du Tribunal fédéral 2C_899/2014 du 3 avril 2015 consid. 3.1). Il faut également tenir compte de l'intérêt de l'enfant, ainsi que l'exige l'art. 3 al. 1 CDE.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w:t>
      </w:r>
    </w:p>
    <w:p>
      <w:r>
        <w:rPr>
          <w:b/>
        </w:rPr>
        <w:t>E. 3.7</w:t>
      </w:r>
    </w:p>
    <w:p>
      <w:r>
        <w:t>L'existence d'un motif de révocation de l'autorisation de séjour ne justifie le refus d'approuver son renouvellement que si ce refus respecte le principe de la proportionnalité (arrêts du Tribunal fédéral 2C_265/2011 du 27 septembre 2011 consid. 6.1 et 2C_227/2011 du 25 août 2011 consid. 3.1). À cet égard, l'examen sous l'angle de l'art. 8 par. 2 CEDH se confond avec celui imposé par les art. 5 al. 2 Cst. et 96 LEI et suppose une pesée de tous les intérêts en présence (ATF 135 II 377 consid. 4.3 ; arrêt du Tribunal fédéral 2C_401/2012 du 18 septembre 2012 consid. 4.1). L’art. 96 al. 1 LEI prévoit que les autorités compétentes tiennent compte, en exerçant leur pouvoir d’appréciation, des intérêts publics, de la situation personnelle de l’étranger, ainsi que de son intégration.</w:t>
      </w:r>
    </w:p>
    <w:p>
      <w:r>
        <w:rPr>
          <w:b/>
        </w:rPr>
        <w:t>E. 3.8</w:t>
      </w:r>
    </w:p>
    <w:p>
      <w:r>
        <w:t>S'agissant d'étrangers qui sont nés en Suisse ou qui y résident depuis très longtemps, le Tribunal fédéral attache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 revirement biographique »; « biographische Kehrtwende »). Si, au moment de la décision de révocation du droit de séjour en Suisse, l'étranger s'est établi professionnellement, il peut être disproportionné de révoquer son autorisation d'établissement après de nombreuses années de résidence en Suisse et de le contraindre ainsi à renoncer à ses racines sociales, culturelles, linguistiques et vraisemblablement aussi économiques et professionnelles en Suisse (arrêts du Tribunal fédéral 2C_622/2020 du 27 septembre 2021 consid. 4.4.2 ; 2C_85/2021 du 7 juin 2021 consid. 5.2.2 ; 2C_717/2019 du 24 septembre 2020 consid. 3.1). La durée de séjour en Suisse d'un étranger constitue un critère très important. Plus cette durée est longue, plus les conditions pour prononcer le renvoi doivent être appréciées restrictivement (ATF 135 II 377 consid. 4.4 et 4.5 ; arrêt du Tribunal fédéral 2C_970/2017 du 7 mars 2018 consid. 4.1).</w:t>
      </w:r>
    </w:p>
    <w:p>
      <w:r>
        <w:rPr>
          <w:b/>
        </w:rPr>
        <w:t>E. 3.9</w:t>
      </w:r>
    </w:p>
    <w:p>
      <w:r>
        <w:t>En l’espèce, au moment du prononcé de la décision querellée, les recourants émargeaient à l'aide sociale depuis le 1 er octobre 2018 pour un montant cumulé de CHF 416'656.- et faisaient l'objet de nombreux actes de défauts de biens pour un montant s'élevant au total à plus de CHF 231'000.-. Ils n'ont produit aucune pièce démontrant qu'à ce jour ils auraient remboursé, ou même tenté de rembourser, une partie de leurs dettes. Si le recourant a retrouvé du travail depuis mars 2023, et la recourante depuis le mois de mars 2024, ces récentes prises d’emploi - au demeurant à des taux d'occupation relativement faibles (soit à hauteur d'environ 26 %) - ne permettent pas encore de constater qu'ils seraient durablement sortis de l’aide sociale au point de ne plus risquer d’en dépendre à nouveau dans un proche avenir et/ou de contracter de nouvelles dettes. L’on notera à cet égard qu’ils sont déjà, par le passé, en 2015, sortis de l’aide sociale, mais qu’ils y sont retombés et que le contrat de travail de A______ conclu avec I______ n'est prévu que jusqu'au 15 juillet 2024. À cela s’ajoute qu'au moment du prononcé de la décision querellée, le recourant faisait l’objet de trois condamnations pénales pour des faits de faux dans les certificats, escroquerie et infractions à la LCR. Si le recourant a confirmé l'existence d'une nouvelle procédure pénale en cours depuis lors, il ressort des pièces produites par l'OCPM qu'il fait en réalité l'objet de plusieurs nouvelles poursuites pénales, également pour faux dans les titres et escroqueries, faits qu'il a admis, une fois notamment pour bénéficier indûment du chômage, au motif que « l'octroi aux aides de l'hospice avait été invalidé ». L'étalement dans le temps des procédures pénales et la persistance du recourant à violer l'ordre juridique malgré les sanctions pénales et les avertissements du SEM tendent à indiquer que le recourant n’est pas prêt à se conformer à l’ordre en vigueur. Les recourants ont en effet été avertis, le 15 juillet 2021, de l'éventuel non-renouvellement de leurs autorisations de séjour si leur situation ne devait pas s’améliorer. Le SEM avait, du reste, limité son approbation au renouvellement de leurs autorisations de séjour à un an en raison de leur situation financière précaire (faibles revenus mensuels annoncés et très nombreuses dettes et poursuites), situation qui s’est encore péjorée depuis. Dès lors, c'est de manière bien fondée que le TAPI a retenu que dans la mesure où les recourants cumulent à tout le moins deux motifs de révocation, l'existence d'un intérêt public à leur éloignement était incontestable.</w:t>
      </w:r>
    </w:p>
    <w:p>
      <w:r>
        <w:rPr>
          <w:b/>
        </w:rPr>
        <w:t>E. 3.10</w:t>
      </w:r>
    </w:p>
    <w:p>
      <w:r>
        <w:t>Sur le plan socio-culturel, aucune pièce du dossier ne vient attester d’une intégration sociale poussée ou de difficultés de réintégration particulières. Par ailleurs, les recourants sont nés au Kosovo où ils ont passé leur enfance, leur adolescence et une partie de leur vie d'adulte, soit les années primordiales pour l'intégration socio-culturelle. Ils y ont manifestement conservé des attaches au vu des nombreux visas de retour requis. Ils s’y sont d’ailleurs fait dernièrement construire une maison. Encore relativement jeunes, ils sont en bonne santé, ce qui devrait faciliter grandement leur réinsertion socio-professionnelle dans leur patrie, après une période d'adaptation. Ils y maîtrisent par ailleurs la langue et les coutumes, de sorte que leur réintégration, si elle ne sera sans doute pas dépourvue de toute difficulté, ne sera en tout cas pas plus difficile que celle de leurs compatriotes placés dans une situation semblable. S’agissant de leurs enfants mineurs, il est vrai qu'ils sont nés à Genève et y ont toujours vécu. Le plus jeune est toutefois âgé de 6 ans seulement et l'aîné a 14 ans et vient donc tout juste d'entrer dans l'adolescence. Ainsi, bien qu'indéniablement constitutive d'un important changement, leur réintégration au Kosovo et la poursuite de leur cursus scolaire dans ce pays ne semblent pas compromises. Ils ont en outre gardé un lien avec le Kosovo, au vu des demandes de visa de retour déposées. Ils en parlent vraisemblablement la langue et en connaissent les us et coutumes, s’agissant du pays d’origine de leurs deux parents. Enfin, sur le plan familial, comme le TAPI l'a retenu, les relations étroites qu’eux‑mêmes et leurs cadets entretiennent avec F______ ne sont pas contestées mais elles ne sont cependant pas protégées par l’art. 8 CEDH. Leur relation pourra au demeurant être maintenue en cas de renvoi au Kosovo par le truchement des moyens de communication modernes. Il découle de ce qui précède que l'intimé n'a violé ni le droit conventionnel, ni le droit fédéral, ni le principe de la proportionnalité, ni encore excédé ou abusé de son pouvoir d'appréciation (art. 96 LEI), en refusant de prolonger l'autorisation de séjour des recourants, malgré le long séjour de ceux-ci en Suisse.</w:t>
      </w:r>
    </w:p>
    <w:p>
      <w:r>
        <w:rPr>
          <w:b/>
        </w:rPr>
        <w:t>E. 4</w:t>
      </w:r>
    </w:p>
    <w:p>
      <w:r>
        <w:t>Il convient encore d’examiner le bien-fondé de la décision de renvoi.</w:t>
      </w:r>
    </w:p>
    <w:p>
      <w:r>
        <w:rPr>
          <w:b/>
        </w:rPr>
        <w:t>E. 4.1</w:t>
      </w:r>
    </w:p>
    <w:p>
      <w:r>
        <w:t>Selon l'art. 64 al. 1 let. c LEI, les autorités compétentes rendent une décision de renvoi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w:t>
      </w:r>
    </w:p>
    <w:p>
      <w:r>
        <w:rPr>
          <w:b/>
        </w:rPr>
        <w:t>E. 4.2</w:t>
      </w:r>
    </w:p>
    <w:p>
      <w:r>
        <w:t>En l'espèce, il ne ressort pas du dossier que l'exécution du renvoi serait impossible, illicite ou inexigible au regard de l'art. 83 LEI ; les recourants ne font d'ailleurs pas valoir que tel serait le cas. La décision de renvoi est donc fondée. Dans ces circonstances, la décision de l'OCPM est conforme au droit et le recours contre le jugement du TAPI, entièrement mal fondé, sera rejeté.</w:t>
      </w:r>
    </w:p>
    <w:p>
      <w:r>
        <w:rPr>
          <w:b/>
        </w:rPr>
        <w:t>E. 5</w:t>
      </w:r>
    </w:p>
    <w:p>
      <w:r>
        <w:t>Vu l'issue du litige, un émolument de CHF 400.- sera mis à la charge des recourants, pris solidairement (art. 87 al. 1 LPA et 13 du règlement sur les frais, émoluments et indemnités en procédure administrative du 30 juillet 1986 - RFPA - E 5 10.03)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