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A/888/2019 vom 30. April 2020</w:t>
      </w:r>
    </w:p>
    <w:p>
      <w:r>
        <w:t>GE Cour de justice, 2020-04-30, FR</w:t>
      </w:r>
    </w:p>
    <w:p>
      <w:r>
        <w:rPr>
          <w:b/>
        </w:rPr>
        <w:t xml:space="preserve">Quelle: </w:t>
      </w:r>
      <w:r>
        <w:t>https://mcp.opencaselaw.ch/entscheid/ge_gerichte_A_888_2019</w:t>
      </w:r>
    </w:p>
    <w:p>
      <w:r>
        <w:t>FR: GE_GERICHTE A/888/2019 du 30 avril 2020</w:t>
      </w:r>
    </w:p>
    <w:p>
      <w:r>
        <w:t>IT: GE_GERICHTE A/888/2019 del 30 aprile 2020</w:t>
      </w:r>
    </w:p>
    <w:p>
      <w:pPr>
        <w:pStyle w:val="Heading2"/>
      </w:pPr>
      <w:r>
        <w:t>Erwägungen</w:t>
      </w:r>
    </w:p>
    <w:p>
      <w:r>
        <w:rPr>
          <w:b/>
        </w:rPr>
        <w:t>E. 12</w:t>
      </w:r>
    </w:p>
    <w:p>
      <w:r>
        <w:t>septembre 1985 - LPA - E 5 10). 2) L'objet du litige concerne la conformité au droit de la décision de résiliation des rapports de service de la recourante du 18 février 2019. a. En tant que membre du personnel des HUG, la recourante est soumise au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b. Selon l'art. 4 al. 1 LPAC, le personnel de la fonction publique se compose de fonctionnaires, d'employés, d'auxiliaires, d'agents spécialisés et de personnel en formation. Est un employé le membre du personnel régulier qui accomplit une période probatoire (art. 6 al. 1 LPAC). La nomination en qualité de fonctionnaire intervient au terme d'une période probatoire de deux ans, sous réserve de prolongation de cette dernière (art. 47 al. 1 RPAC ; art. 49 al. 2 du statut du personnel des HUG du 16 décembre 1999 - ci-après : statut). c. En l'espèce, la recourante a commencé son activité aux HUG le</w:t>
      </w:r>
    </w:p>
    <w:p>
      <w:r>
        <w:rPr>
          <w:b/>
        </w:rPr>
        <w:t>E. 16</w:t>
      </w:r>
    </w:p>
    <w:p>
      <w:r>
        <w:t>novembre 2017, si bien qu'elle se trouvait encore en période probatoire lors de la résiliation des rapports de service le 18 février 2019 et revêt la qualité d'employée au sens de l'art. 6 al. 1 LPAC et du Titre VII du statut. 3)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 b.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 c. En l'espèce, la recourante se trouvait, au moment de la résiliation des rapports de service, au cours de sa seconde année d'emploi. Le délai de résiliation était donc de trois mois pour la fin d'un mois. Remis en mains propres le</w:t>
      </w:r>
    </w:p>
    <w:p>
      <w:r>
        <w:rPr>
          <w:b/>
        </w:rPr>
        <w:t>E. 18</w:t>
      </w:r>
    </w:p>
    <w:p>
      <w:r>
        <w:t>février 2019 avec effet au 31 mai 2019, le congé respecte donc le délai fixé à l'art. 30 al. 3 LPAC. Signée par le directeur des ressources humaines, la décision querellée a été prise par une personne qui en avait la compétence, conformément à l'art. 17 al. 6 LPAC et l'art. 62 du statut. La décision de licenciement respecte donc les exigences formelles. 4) La recourante fait valoir qu'elle aurait subi des comportements pouvant être qualifiés de racistes de la part de certaines collègues, lesquelles ne souhaitaient pas travailler avec elle. a. Aux termes de l'art. 2B de la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 Le règlement des HUG relatif à la protection de la personnalité, en particulier en matière de harcèlement psychologique et de harcèlement sexuel du 6 mai 2010 (règlement du Conseil d'administration : HUGO.RH.DG.0016 ; ci-après : le RPP) est entré en vigueur le 2 juin 2010.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 LEPM - K 2 05; ATA/119/2013 du 26 février 2013). b. En l'espèce, la recourante n'indique pas avoir entrepris de démarches dans ce sens. Le grief est ainsi irrecevable, la chambre de céans n'étant pas compétente. Pour le surplus, aucun élément n'est ressorti des enquêtes, notamment des déclarations des témoins cités par la recourante à l'appui de son allégation de comportements racistes à son égard. Cette dernière a notamment indiqué en dernier lieu lors de son audition par la chambre de céans - contrairement à ce qu'elle a indiqué dans ses précédentes écritures qu'elle n'avait pas ressenti de comportements racistes mais s'était sentie totalement exclue. 5) a. Conformément à l'art. 5 RTrait, les prestations du nouveau collaborateur font l'objet, au terme de la période d'essai de trois mois et des 1 ère et 2 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qu'une nouvelle analyse doit être faite dans un délai maximum de douze mois, au plus tard avant la fin de la période probatoire (art. 5 al. 4 let. c RTrait). 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 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ATA/1784/2019 consid. 5b ; ATA/115/2016 précité et les arrêts cités). Le pouvoir d'examen de la chambre administrative se limite à la violation du droit, y compris l'excès et l'abus du pouvoir d'appréciation, de sorte qu'elle ne peut pas revoir l'opportunité de la décision litigieuse (art. 61 al. 1 et 2 LPA).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e.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 du Tribunal fédéral 2C_774/2014 du 21 juillet 2017 consid. 9.1 ; ATA/1684/2019 du 19 novembre 2019 consid. 15 ; Vincent MARTENET, Géométrie de l'égalité, 2003, p. 260 ss). 6) En l'occurrence, il ressort du dossier que les trois EEDC de la recourante survenus respectivement après trois, cinq et neuf mois d'activité ont tous été jugés peu satisfaisants. Si les lesdites évaluations ont, à chaque fois, relevé des progrès de la part de la recourante, il a également été considéré qu'elle ne remplissait toujours pas pleinement son activité d'ASA à satisfaction au bout de neuf mois d'activité. Il lui a notamment été reproché de commettre encore trop d'événements indésirables, ce qui nécessitait une attention soutenue de la part de l'équipe ainsi qu'un accompagnement qui n'était pas compatible avec le bon fonctionnement du service. Contrairement à ce qu'allègue la recourante, les différents manquements ou événements reprochés lui ont été communiqués. Ils ressortent tant des différents EEDC que des documents « suivi et bilan de la période d'essai » et « synoptique de la période probatoire » dont il n'est pas contesté que la recourante a pu prendre connaissance, à tout le moins dans la cadre de la présente procédure devant la chambre de céans. Il lui a notamment été reproché un manque d'autonomie, un manque de maîtrise de la terminologie médicale, une mauvaise utilisation de certains appareils, la mauvaise manipulation d'un patient ainsi que des oublis ou des erreurs dans l'accomplissement de ses tâches quotidiennes. Ces insuffisances sont par ailleurs confirmées par les auditions des collègues de la recourante qui ont notamment déclaré que l'intéressée avait d'importantes lacunes lorsqu'elle était arrivée dans le service. La recourante estime que son encadrement et sa formation avaient été largement insuffisants tant en termes de durée que de contenu. Or, il ressort, d'une part, des documents « suivi et bilan de la période d'essai » et « synoptique de la période probatoire » que la recourante a bénéficié de formations (hygiène, commande matériel et bilan urinaire) et de plusieurs supervisions et encadrements durant ses neuf premiers mois d'activité. D'autre part, les ASA et les infirmières auditionnées ont confirmé que la recourante avait bénéficié d'un encadrement tant de la part de ses collègues et de son responsable hiérarchique direct. L'une des collaboratrices auditionnées a par ailleurs qualifié l'encadrement de plus long que pour les autres nouveaux collaborateurs. Deux autres collègues ont en outre indiqué que malgré cet encadrement, les prestations de l'intéressée n'étaient toujours pas suffisantes, celle-ci ayant notamment des problèmes avec les bilans hydro-urinaires ou alimentaires ainsi qu'avec l'utilisation des appareils. Il apparaît ainsi que malgré un encadrement soutenu, la recourante ne remplissait toujours pas ses tâches à satisfaction au bout de neuf mois d'activité. La recourante reproche en particulier aux intimés de ne pas avoir tenu compte de la période de cinq mois, comprise entre son dernier EEDC et l'entretien de service, durant laquelle elle avait fait de nombreux progrès. Or, comme le relèvent à juste titre les intimés, cette période doit être fortement relativisée puisqu'elle ne représente qu'une vingtaine de jours effectifs de travail compte tenu des différentes absences de la recourante pour maladie, vacances ou en raison du décès d'un de ses proches. Par ailleurs, il ne ressort pas du dossier que les prestations de l'intéressée se seraient améliorées d'une façon telle que les reproches formulés lors de l'EEDC d'août 2018 ne seraient plus justifiés, étant précisé qu'un entretien intermédiaire a également eu lieu le 22 novembre 2018 entre la recourante et sa direction. La recourante fait également valoir que son supérieur hiérarchique direct aurait mis en place un système de surveillance intense et particulier, notamment par le biais de ses collègues, lequel violait notamment les principes de l'interdiction de l'arbitraire et de l'égalité de traitement. Elle se plaint également du comportement de deux collègues à son égard. Il ressort effectivement du dossier, et en particulier des audiences d'enquêtes, que le responsable de l'unité demandait régulièrement aux collègues de la recourante si son évolution était positive. Les personnes entendues ont confirmé que cette question était posée par oral, en présence de la recourante, et qu'elles n'avaient jamais eu à évaluer par écrit, notamment dans un cahier, la qualité du travail de l'intéressée. Or, il n'est ni inhabituel ni préjudiciable à la personnalité d'un collaborateur, qui plus est nouvellement arrivé dans un service, que son supérieur hiérarchique s'enquière auprès de ses collègues de l'état de ses prestations, ce d'autant plus lorsque l'exécution des tâches professionnelles repose sur le fonctionnement d'un binôme. Il n'est par ailleurs pas non plus critiquable qu'un supérieur hiérarchique consigne par écrit les éventuels manquements ou problèmes rencontrés par l'un de ses collaborateurs, que cela soit dans le but de fixer des objectifs à ce dernier en vue de son amélioration ou, en cas d'échec, aux fins d'étayer une procédure de licenciement. Enfin, le fait qu'aucun autre « tableau synoptique » n'ait été établi par le responsable hiérarchique de la recourante ne saurait être considéré comme la preuve d'un système de surveillance arbitraire et contraire au principe de l'égalité de traitement. Comme le relèvent les intimés, cet outil semble avoir précisément été mis en place au vu de la situation particulière, soit la présence d'insuffisances de la part de la recourante. Pour le surplus, malgré les intentions malfaisantes prêtées par la recourante à son supérieur hiérarchique à son égard, il sera relevé que les trois EEDC rédigés par celui-ci sont empreints d'une certaine bienveillance, le rédacteur prenant soin de mettre à chaque fois en lumière les progressions et éléments positifs constatés avant de faire état des éléments non satisfaisants. S'agissant des prétendus comportements malveillants de deux collègues à son égard, ils ne sont pas établis à teneur du dossier et notamment des auditions réalisées. La recourante n'en a d'ailleurs jamais fait mention avant qu'elle apprenne l'intention de son supérieur hiérarchique direct de demander à ce qu'il soit mis fin aux rapports de service. Celle-ci avait au contraire indiqué lors de son premier EEDC qu'elle était contente de ses collègues d'unité. Au vu de l'ensemble de ces éléments, l'autorité intimée n'a pas abusé de son pouvoir d'appréciation en résiliant les rapports de service de la recourante. Les reproches formulés par l'autorité intimée n'apparaissent pas manifestement dénués de fondement et constituent des motifs qui lui permettaient, au vu de son large pouvoir d'appréciation, de retenir que les prestations professionnelles de la recourante étaient insuffisantes. Partant, la décision de licenciement prise par les HUG est dénuée d'arbitraire, respecte le principe de la proportionnalité et est, en tous points, conforme au droit. Vu cette issue, les conclusions de la recourante en réintégration et en indemnité ne seront pas examinées. Mal fondé, le recours sera donc rejeté. 7. Vu l'issue du litige, un émolument de CHF 500.- sera mis à charge de la recourante (art. 87 al. 1 LPA). Aucune indemnité ne sera allouée (art. 87 al. 2 LPA, ATA/1653/2019 du 12 novembre 2019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