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A/880/2023 vom 7. Februar 2024</w:t>
      </w:r>
    </w:p>
    <w:p>
      <w:r>
        <w:t>GE Cour de justice, 2024-02-07, FR</w:t>
      </w:r>
    </w:p>
    <w:p>
      <w:r>
        <w:rPr>
          <w:b/>
        </w:rPr>
        <w:t xml:space="preserve">Quelle: </w:t>
      </w:r>
      <w:r>
        <w:t>https://mcp.opencaselaw.ch/entscheid/ge_gerichte_A_880_2023</w:t>
      </w:r>
    </w:p>
    <w:p>
      <w:r>
        <w:t>FR: GE_GERICHTE A/880/2023 du 7 février 2024</w:t>
      </w:r>
    </w:p>
    <w:p>
      <w:r>
        <w:t>IT: GE_GERICHTE A/880/2023 del 7 febbraio 2024</w:t>
      </w:r>
    </w:p>
    <w:p>
      <w:pPr>
        <w:pStyle w:val="Heading2"/>
      </w:pPr>
      <w:r>
        <w:t>Erwägungen</w:t>
      </w:r>
    </w:p>
    <w:p>
      <w:r>
        <w:rPr>
          <w:b/>
        </w:rPr>
        <w:t>E. 1</w:t>
      </w:r>
    </w:p>
    <w:p>
      <w:r>
        <w:t>![endif]&gt;![if&gt;</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w:t>
      </w:r>
    </w:p>
    <w:p>
      <w:r>
        <w:rPr>
          <w:b/>
        </w:rPr>
        <w:t>E. 1.2</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2).![endif]&gt;![if&gt;</w:t>
      </w:r>
    </w:p>
    <w:p>
      <w:r>
        <w:rPr>
          <w:b/>
        </w:rPr>
        <w:t>E. 1.3</w:t>
      </w:r>
    </w:p>
    <w:p>
      <w:r>
        <w:t>Compte tenu du domicile genevois de la recourante, la Cour de céans est compétente à raison de la matière et du lieu pour juger du cas d’espèce.![endif]&gt;![if&gt;</w:t>
      </w:r>
    </w:p>
    <w:p>
      <w:r>
        <w:rPr>
          <w:b/>
        </w:rPr>
        <w:t>E. 2</w:t>
      </w:r>
    </w:p>
    <w:p>
      <w:r>
        <w:t>À teneur de l'art. 1 al. 1 LAA,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(cf. art. 82a LPGA a contrario ).</w:t>
      </w:r>
    </w:p>
    <w:p>
      <w:r>
        <w:rPr>
          <w:b/>
        </w:rPr>
        <w:t>E. 3</w:t>
      </w:r>
    </w:p>
    <w:p>
      <w:r>
        <w:t>Le 1 er janvier 2017 est entrée en vigueur la modification du 25 septembre 2015 de la LAA. Dans la mesure où l'accident est survenu après cette date, le droit de la recourante aux prestations d'assurance est soumis au nouveau droit.![endif]&gt;![if&gt;</w:t>
      </w:r>
    </w:p>
    <w:p>
      <w:r>
        <w:rPr>
          <w:b/>
        </w:rPr>
        <w:t>E. 4</w:t>
      </w:r>
    </w:p>
    <w:p>
      <w:r>
        <w:t>Le délai de recours est de trente jours (art. 56 LPGA ; art. 62 al. 1 de la de loi sur la procédure administrative du 12 septembre 1985 [LPA - E 5 10]).![endif]&gt;![if&gt; Interjeté dans la forme et le délai prévus par la loi, le recours est recevable.</w:t>
      </w:r>
    </w:p>
    <w:p>
      <w:r>
        <w:rPr>
          <w:b/>
        </w:rPr>
        <w:t>E. 5</w:t>
      </w:r>
    </w:p>
    <w:p>
      <w:r>
        <w:t>Le litige porte sur le droit de la recourante à des prestations de l’assurance-accidents au-delà du 30 juin 2022.![endif]&gt;![if&gt;</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w:t>
      </w:r>
    </w:p>
    <w:p>
      <w:r>
        <w:rPr>
          <w:b/>
        </w:rPr>
        <w:t>E. 7</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w:t>
      </w:r>
    </w:p>
    <w:p>
      <w:r>
        <w:rPr>
          <w:b/>
        </w:rPr>
        <w:t>E. 8</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w:t>
      </w:r>
    </w:p>
    <w:p>
      <w:r>
        <w:rPr>
          <w:b/>
        </w:rPr>
        <w:t>E. 9</w:t>
      </w:r>
    </w:p>
    <w:p>
      <w:r>
        <w:t>Les notions de syndrome douloureux régional complexe (CRPS - Complex regional pain syndrome en anglais), algodystrophie ou maladie de Suedeck appartiennent aux maladies neurologiques, orthopédiques et traumatologiques et constituent ainsi une atteinte à la santé physique, respectivement corporelle (arrêt du Tribunal fédéral 8C_955/2008 du 29 avril 2009 consid. 6).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etc.) et c) une courte période de latence entre l'accident et l'apparition de l'algodystrophie, soit au maximum six à huit semaines (arrêts du Tribunal fédéral 8C_871/2010 du 4 octobre 2011 consid. 3.2 et 8C_384/2009 du 5 janvier 2010 consid. 4.2.1 in SVR 2010 UV n° 18 p. 69). ![endif]&gt;![if&gt; Pour admettre un lien de causalité naturelle, il n'est pas déterminant que le diagnostic ait été posé dans les six à huit semaines après l’accident, mais que sur la base de constatations médicales fournies en temps réel, on puisse conclure que durant cette période de latence l'assuré a souffert au moins en partie des symptômes typiques de ce diagnostic (arrêt du Tribunal fédéral 8C_270/2022 du 12 octobre 2022 consid. 4.2.1 et les références). La causalité naturelle peut également être admise si le syndrome fait suite à une opération en lien avec l'accident (arrêt du Tribunal fédéral 8C_27/2019 du 20 août 2019 consid. 6.4.2 et les références citées).</w:t>
      </w:r>
    </w:p>
    <w:p>
      <w:r>
        <w:rPr>
          <w:b/>
        </w:rPr>
        <w:t>E. 10</w:t>
      </w:r>
    </w:p>
    <w:p>
      <w:r>
        <w:t>![endif]&gt;![if&gt;</w:t>
      </w:r>
    </w:p>
    <w:p>
      <w:r>
        <w:rPr>
          <w:b/>
        </w:rPr>
        <w:t>E. 10.1</w:t>
      </w:r>
    </w:p>
    <w:p>
      <w:r>
        <w:t>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Se fondant sur cette délégation de compétence - à laquelle renvoie l'art. 14 de l'ordonnance sur l'assurance-accidents du 20 décembre 1982 (OLAA - RS 832.202) -, le Conseil fédéral a dressé à l'annexe I de l'OLAA la liste des substances nocives, d'une part, et la liste de certaines affections, ainsi que des travaux qui les provoquent, d'autre part. Ces substances et travaux, ainsi que les affections dues à ceux-ci, sont énumérés de manière exhaustive. Selon la jurisprudence, l'exigence d'une relation prépondérante requise par l'art. 9 al. 1 LAA est réalisée lorsque la maladie est due pour plus de 50% à l'action d'une substance nocive mentionnée à l'annexe 1 de l'OLAA (arrêt du Tribunal fédéral 8C_626/2021 du 19 janvier 2022 consid. 3.2 et les références).![endif]&gt;![if&gt;</w:t>
      </w:r>
    </w:p>
    <w:p>
      <w:r>
        <w:rPr>
          <w:b/>
        </w:rPr>
        <w:t>E. 10.2</w:t>
      </w:r>
    </w:p>
    <w:p>
      <w:r>
        <w:t>Aux termes de l'art. 9 al. 2 LAA, sont aussi réputées maladies professionnelles les autres maladies dont il est prouvé qu'elles ont été causées exclusivement ou de manière nettement prépondérante par l'exercice de l'activité professionnelle. Il s'agit là d'une clause générale visant à combler les lacunes qui pourraient résulter de ce que la liste dressée par le Conseil fédéral à l'annexe 1 de l'OLAA ne mentionne pas soit une substance nocive qui a causé une maladie, soit une maladie qui a été causée par l'exercice de l'activité professionnelle (arrêt du Tribunal fédéral 8C_516/2020 du 3 février 2021 consid. 3.2.1 et les références).![endif]&gt;![if&gt;</w:t>
      </w:r>
    </w:p>
    <w:p>
      <w:r>
        <w:rPr>
          <w:b/>
        </w:rPr>
        <w:t>E. 10.3</w:t>
      </w:r>
    </w:p>
    <w:p>
      <w:r>
        <w:t>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 8C_516/2020 précité consid. 3.2.2 et les références).![endif]&gt;![if&gt;</w:t>
      </w:r>
    </w:p>
    <w:p>
      <w:r>
        <w:rPr>
          <w:b/>
        </w:rPr>
        <w:t>E. 10.4</w:t>
      </w:r>
    </w:p>
    <w:p>
      <w:r>
        <w:t>Le Tribunal fédéral a relevé que, compte tenu du caractère empirique de la médecine, lorsqu'une preuve directe ne peut pas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 8C_516/2020 précité consid. 3.2.3 et les références).![endif]&gt;![if&gt;</w:t>
      </w:r>
    </w:p>
    <w:p>
      <w:r>
        <w:rPr>
          <w:b/>
        </w:rPr>
        <w:t>E. 10.5</w:t>
      </w:r>
    </w:p>
    <w:p>
      <w:r>
        <w:t>Il découle de ce qui précède (cf. consid. 7.3.2 supra)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(arrêt 8C_516/2020 précité consid. 3.2.4 et les références).![endif]&gt;![if&gt;</w:t>
      </w:r>
    </w:p>
    <w:p>
      <w:r>
        <w:rPr>
          <w:b/>
        </w:rPr>
        <w:t>E. 10.6</w:t>
      </w:r>
    </w:p>
    <w:p>
      <w:r>
        <w:t>Ces principes valent pour l’examen de la relation de causalité exclusive ou (nettement) prépondérante sous l’angle de l’al. 1 comme de l’al. 2 de l’art. 9 LAA. Pour le lien de causalité entre une maladie et les substances nocives ou les travaux en cause au sens du premier alinéa, est cependant déterminante la mesure dans laquelle le risque d’être atteint par la maladie en raison de l’exposition à certaines substances nocives est augmenté compte tenu des données épidémiologiques. Il convient de se fonder sur le risque relatif (r-1), c’est-à-dire sur le rapport de probabilité de tomber malade entre des personnes exposées et celles qui ne le sont pas au sein d’une population déterminée, pour une période de temps délimitée. Dès lors que la cause prépondérante au sens de l’art. 9 al. 1 LAA n’est réalisée que si les substances nocives participent à plus de 50% de l’ensemble des causes à la survenance de la maladie, le risque relatif doit être supérieur à 2 (Jean-Maurice FRÉSARD / Margrit MOSER-SZELESS, L'assurance-accidents obligatoire in Schweizerisches Bundesverwaltungsrecht [SBVR], 3 ème éd., 2016, n. 165).![endif]&gt;![if&gt;</w:t>
      </w:r>
    </w:p>
    <w:p>
      <w:r>
        <w:rPr>
          <w:b/>
        </w:rPr>
        <w:t>E. 10.7</w:t>
      </w:r>
    </w:p>
    <w:p>
      <w:r>
        <w:t>L'épicondylite ne figure pas dans la liste des maladies de l’Annexe 1 OLAA et ne peut donc être reconnue comme maladie professionnelle que dans le cadre de la clause générale de l'art. 9 al. 2 LAA. Pendant de nombreuses années, la SUVA reconnaissait l'épicondylite comme maladie professionnelle sous certaines conditions et cette pratique a été modifiée par la suite. Le Tribunal fédéral est arrivé à la conclusion qu'en l'état actuel des connaissances scientifiques, il n'était pas possible d'exclure de manière générale le caractère de maladie professionnelle à l'épicondylite, de sorte que la question devait être appréciée de cas en cas en fonction de différents critères d'évaluation (arrêt du Tribunal fédéral 8C_516/2020 du 3 février 2021 consid. 3.2.5; arrêt du Tribunal fédéral 8C_117/2016 du 27 janvier 2017 consid. 6). Le Tribunal fédéral a suivi cette position dans tous les cas de figure concernant l'épicondylite radiale (Thomas FLÜCKIGER in HÜRZELER / KIESER [éd.], UVG, Bundesgesetz über die Unfallversicherung, 2018, n. 48 ad art. 9 LAA ; arrêt du Tribunal fédéral 8C_117/2016 du 27 janvier 2017 consid. 6).![endif]&gt;![if&gt;</w:t>
      </w:r>
    </w:p>
    <w:p>
      <w:r>
        <w:rPr>
          <w:b/>
        </w:rPr>
        <w:t>E. 11</w:t>
      </w:r>
    </w:p>
    <w:p>
      <w:r>
        <w:t>Pour constater l'existence d'une atteinte à la santé en lien avec l'exercice d'une activité professionnelle, le juge doit se fonder sur des rapports médicaux auxquels on peut attribuer un caractère probant suffisant selon la jurisprudence (arrêt du Tribunal fédéral 8C_800/2019 du 18 novembre 2020 consid. 3.2 et les références).![endif]&gt;![if&gt;</w:t>
      </w:r>
    </w:p>
    <w:p>
      <w:r>
        <w:rPr>
          <w:b/>
        </w:rPr>
        <w:t>E. 11.1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11.2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11.3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3b).![endif]&gt;![if&gt;</w:t>
      </w:r>
    </w:p>
    <w:p>
      <w:r>
        <w:rPr>
          <w:b/>
        </w:rPr>
        <w:t>E. 11.4</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11.5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11.6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![endif]&gt;![if&gt;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12.1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12.2</w:t>
      </w:r>
    </w:p>
    <w:p>
      <w:r>
        <w:t>Dans le contexte de la suppression du droit à des prestations d'assurance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références).![endif]&gt;![if&gt;</w:t>
      </w:r>
    </w:p>
    <w:p>
      <w:r>
        <w:rPr>
          <w:b/>
        </w:rPr>
        <w:t>E. 12.3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12.4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![endif]&gt;![if&gt;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En l’occurrence, les parties s’opposent sur la prise en charge de l’intimée au-delà du 30 juin 2022.![endif]&gt;![if&gt; Sur la base du rapport d’expertise du Dr G______, l’assureur a mis fin à ses prestations au 30 juin 2022, estimant qu’il n’y a aucune lésion anatomique objectivable qui justifie un lien de causalité entre l’accident et l’affection au coude droit après cette date. Quant à la recourante, sur la base des rapports de ses médecins traitants et des résultats d’examen au dossier, elle fait valoir qu’il y a au contraire une atteinte à la santé résultant de l’accident, sous la forme d’une épicondylite du coude droit, laquelle impacte sa capacité de travail au-delà du 30 juin 2022. Elle estime que le rapport d’expertise du Dr G______ n’a pas de valeur probante. Il ressort du dossier que la recourante s’est blessée au coude droit lors de l’accident de décembre 2019, ce qui n’est pas contesté. Les appréciations médicales au dossier sont divergentes. Le rapport d’ultrason du 20 décembre 2019 fait état d’un élargissement du tendon conjoint des muscles épicondyliens avec hyperémie au Doppler témoignant d’une épicondylite. Dans ses rapports (pièces 18, 32 et 58 intimée), le Dr C______, qui a suivi la recourante dans les suites immédiates de son accident, a fait état à titre de diagnostic d’épicondylite post-traumatique du coude droit. Le Dr D______ retient également une épicondylite du coude droit (notamment pièce 73 intimée). Dans son rapport du 8 juin 2021, le Dr F______ concluait à une épicondylalgie droite consécutive à une contusion. Il notait que l’examen clinique relevait une douleur élective au niveau de l’épicondyle et de l’insertion des épicondyliens. Il n’y avait que peu de douleurs aux tests de provocation (pièce 135 intimée). Dans son rapport d’expertise le Dr G______ ne rejoint pas les médecins traitants de la recourante (pièce 171 intimée). Le Dr G______ mentionne que le diagnostic d’épicondylite et d’épicondylalgie est repris régulièrement, mais ceci n’est pas corroboré par des résultats d’examens cliniques, ni même des mesures de mobilité articulaire ou des mesures de force. Il conclut qu’il n’y a, au moment de son examen, aucune lésion anatomique objectivable, résultant de l’accident, qui puisse justifier une incapacité de travail. On trouve au dossier un ultrason de décembre 2019 qui fait état d’un élargissement du tendon conjoint des muscles épicondyliens avec hyperémie au Doppler témoignant d’une épicondylite. Toutefois, ce rapport n’est pas mentionné dans l’expertise. Il sied de relever que la Cour de céans a dû elle-même le réclamer car illisible, de sorte qu’il apparaît pour le moins vraisemblable que l’expert n’en a pas eu connaissance. Par ailleurs, d’après les propos de l’expert, ce dernier n’a manifestement pas eu accès à un dossier complet. En effet, il note en page 3 de son expertise (pièce 171 intimée) ne pas disposer du rapport médical initial. L’expert indique également ne pas avoir eu à disposition les radiographies. Il apparaît par ailleurs que vu l’interpellation de l’assureur qui a conduit au courriel du Dr G______ du 15 novembre 2022 (pièce 219 intimée), ce dernier n’a pas eu accès à l’échographie du 7 décembre 2021. Des rapports et des imageries ont par la suite été produits par la recourante tant en procédure administrative que dans le cadre de la procédure de recours. Ainsi en premier lieu, il se justifie de discuter du rapport d’IRM du coude droit du 24 mai 2022, soit à peine quelques jours après l’examen du Dr G______, qui fait état d’une tendinopathie fissuraire avec tendinose marquée à l’attache profonde des tendons extenseurs, une discrète tendinopathie insertionnelle des tendons fléchisseurs et un discret épanchement intra-articulaire réactionnel sans image de fracture sous-jacente. Par courriel du 15 novembre 2022 (pièce 219 intimée), le Dr G______ a indiqué à l’assureur que ce dernier mentionnait entre autres « suffusion hémorragique en superficie du muscle annoncé », ce qui évoquait l’existence d’un traumatisme récent. L’examen ayant été réalisé après son expertise, il ne pouvait pas se prononcer sans connaître l’évolution ultérieure. Par conséquent, ce document met en lumière des éléments dont le Dr G______ reconnaît ne pas avoir tenu compte puisque postérieurs à son analyse. Il indique ne pas pouvoir se prononcer à défaut de connaître l’évolution, étant relevé qu’il émet la possibilité que ces nouvelles constatations soient en lien avec un éventuel nouveau sinistre sans que cela n’ait été investigué. Dans son rapport de juillet 2022 (pièce 191 intimée), le Dr D______ se limite à constater que le Dr G______ a fait une expertise exhaustive mais maintient le diagnostic d’épicondylite au niveau de son coude droit post-traumatique et souligne l’absence d’antécédent au niveau du coude droit, de sorte qu’il y avait un lien direct avec l’accident. Le 19 décembre 2022 (pièce 223 intimée), la Dresse H______ conclut à des épicondylalgies droites avec douleurs de type neuropathique, post-traumatiques, sur fissures de tendon des muscles extenseurs, probable SDRC secondaire. Dans son rapport du 4 juillet 2022 (pièce 188 intimée), le Dr F______ dit partager en bonne partie les conclusions du Dr G______ tout en relevant que son examen clinique constate notamment une douleur élective à la palpation de l’épicondyle, des muscles épicondyliens et à l’extension contrariée du poignet. Les conclusions de l’IRM de mai 2022 semblant corroborer une pathologie tendineuse qui pouvait effectivement être douloureuse. Il conclut qu’il est difficile d’envisager que l’assurée puisse avoir une activité professionnelle, d’une part à cause de son coude, d’autre part à cause de sa surcharge émotionnelle. Pour la première fois, le 19 juin 2023 (rapport produit par la recourante), le Dr F______ a relevé que le travail de l’assurée vu les mouvements répétitifs pouvait être responsable d’une épicondylite ou avoir contribué à la pérennisation de la symptomatologie. Il a mentionné, s’agissant de l’IRM d’avril 2021, que si le muscle mentionné était correct, il était logique que l’expert ait retenu que cela n’avait pas pu être provoqué par un choc latéral du coude droit selon toute vraisemblance. Il restait toutefois cette notion de traumatisme sur la face latérale du coude dont on sait qu’elle peut entraîner une épicondylite après la contusion de la protubérance osseuse latérale du coude. Ses examens cliniques montraient une tuméfaction de l’épicondyle avec des douleurs à la mise sous tension des muscles épicondyliens et à l’extension contrariée du poignet avec difficulté de tenir l’extension contre-résistance. Selon lui, il semblait difficile de présenter ce genre de symptomatologie sans qu’il y ait épicondylite.</w:t>
      </w:r>
    </w:p>
    <w:p>
      <w:r>
        <w:rPr>
          <w:b/>
        </w:rPr>
        <w:t>E. 14</w:t>
      </w:r>
    </w:p>
    <w:p>
      <w:r>
        <w:t>Il ressort de ce qui précède que le Dr G______ n'a pas procédé à une étude fouillée du cas et qu’il n’a pas eu accès à un dossier complet.![endif]&gt;![if&gt; A cela s’ajoute qu’il reconnaît lui-même ne pas pouvoir se prononcer sur l’IRM de mai 2022. En conséquence, son appréciation ne répond pas aux exigences de la jurisprudence relative à la valeur probante d'une expertise. Les rapports des médecins traitants ne sont par ailleurs pas suffisamment probants car ils ne déterminent pas concrètement les atteintes de la recourante et se basent pour l’essentiel sur le principe post ergo . A cela s’ajoute qu’il est reconnu une composante psychique qui a certes été mentionnée mais jamais investiguée. En l’état du dossier, il n’est donc pas possible de trancher quelles sont les atteintes encore présentées par la recourante, notamment l’existence ou non d’une épicondylite ou d’un SDRC ainsi que, le cas échéant, leurs répercussions et en particulier leur éventuel lien de causalité avec l’accident de décembre 2019 au-delà du 30 juin 2022. Par ailleurs, on ne saurait nier d'emblée tout caractère professionnel à l'affection dont souffre la recourante, ce point n’ayant jamais été investigué. La Cour de céans considère que l’audition des Drs H______ et F______ qui ont par ailleurs déjà eu l’occasion de se prononcer par écrit n’est pas susceptible de permettre la résolution de la présente affaire tant une instruction complémentaire étendue est nécessaire. Il est en effet nécessaire de recourir à une expertise indépendante qui devra comprendre à tout le moins les volets orthopédique, neurologique et psychiatrique (art. 44 LPGA). Il sera précisé que, s’agissant d’une expertise complète, un nouvel expert devra également être désigné en ce qui concerne le volet orthopédique. À cette fin, la cause est renvoyée à l'intimée pour complément d'instruction sous la forme d’une expertise après actualisation du dossier médical et nouvelle décision. Un renvoi à l'administration se justifie d'autant plus que l'intimée a insuffisamment instruit le dossier.</w:t>
      </w:r>
    </w:p>
    <w:p>
      <w:r>
        <w:rPr>
          <w:b/>
        </w:rPr>
        <w:t>E. 15</w:t>
      </w:r>
    </w:p>
    <w:p>
      <w:r>
        <w:t>Au vu de ce qui précède, le recours est partiellement admis, la décision litigieuse annulée, et la cause renvoyée à l'intimée afin qu'elle procède conformément aux considérants.![endif]&gt;![if&gt;</w:t>
      </w:r>
    </w:p>
    <w:p>
      <w:r>
        <w:rPr>
          <w:b/>
        </w:rPr>
        <w:t>E. 16</w:t>
      </w:r>
    </w:p>
    <w:p>
      <w:r>
        <w:t>La recourante, représentée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2'500.-.![endif]&gt;![if&gt;</w:t>
      </w:r>
    </w:p>
    <w:p>
      <w:r>
        <w:rPr>
          <w:b/>
        </w:rPr>
        <w:t>E. 17</w:t>
      </w:r>
    </w:p>
    <w:p>
      <w:r>
        <w:t>Pour le surplus, la procédure est gratuite (art. 61 let. fbis LPGA a contrario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