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A/878/2022 vom 31. Mai 2022</w:t>
      </w:r>
    </w:p>
    <w:p>
      <w:r>
        <w:t>GE Cour de justice, 2022-05-31, FR</w:t>
      </w:r>
    </w:p>
    <w:p>
      <w:r>
        <w:rPr>
          <w:b/>
        </w:rPr>
        <w:t xml:space="preserve">Quelle: </w:t>
      </w:r>
      <w:r>
        <w:t>https://mcp.opencaselaw.ch/entscheid/ge_gerichte_A_878_2022</w:t>
      </w:r>
    </w:p>
    <w:p>
      <w:r>
        <w:t>FR: GE_GERICHTE A/878/2022 du 31 mai 2022</w:t>
      </w:r>
    </w:p>
    <w:p>
      <w:r>
        <w:t>IT: GE_GERICHTE A/878/2022 del 31 maggio 2022</w:t>
      </w:r>
    </w:p>
    <w:p>
      <w:pPr>
        <w:pStyle w:val="Heading2"/>
      </w:pPr>
      <w:r>
        <w:t>Erwägungen</w:t>
      </w:r>
    </w:p>
    <w:p>
      <w:r>
        <w:rPr>
          <w:b/>
        </w:rPr>
        <w:t>E. 2</w:t>
      </w:r>
    </w:p>
    <w:p>
      <w:r>
        <w:t>ème section dans la cause A______, agissant par son père Monsieur B______ contre DÉPARTEMENT DE L'INSTRUCTION PUBLIQUE, DE LA FORMATION ET DE LA JEUNESSE EN FAIT 1) Par courriel du 9 février 2022, Madame et Monsieur B______ se sont adressés à la direction générale de l'enseignement obligatoire (ci-après : DGEO) du département de l'instruction publique, de la formation et de la jeunesse (ci-après : DIP).![endif]&gt;![if&gt; Ils habitaient C______, dans le département de l'Ain. À la suite d'une information erronée sur le processus d'inscription au système scolaire suisse de la part de la crèche, ils avaient « perdu » le délai du 31 janvier. Leur fille A______, née le ______ 2018 était actuellement scolarisée à la crèche D______, au E______. Son frère F______, né le ______ 2008, était en 10 e au cycle d'orientation G______. Ils étaient domiciliés en France depuis deux ans, en provenance de H______. La situation était des plus stressantes pour la famille, car si leur fille ne pouvait bénéficier d'une éducation suisse rien n'avait vraiment de sens pour eux. 2) Par décision du 23 février 2022, le service organisation et planification de la DGEO a rejeté la demande d'inscription.![endif]&gt;![if&gt; Celle-ci était tardive, car déposée après le délai au 31 janvier 2022, date limite publiée le 1 er novembre 2021 dans la Feuille d'avis officielle de la République et canton de Genève (ci-après : FAO) et figurant sur le site Internet officiel de l'État de Genève. Référence était faite à l'art. 23 al. 3 du règlement de l'enseignement primaire (REP - C 1 10.21). 3) Par acte posté le 18 mars 2022, M. B______ a interjeté recours auprès de la chambre administrative de la Cour de justice (ci-après : la chambre administrative) contre la décision précitée, concluant à ce que cette dernière soit « revue ».![endif]&gt;![if&gt; En octobre 2021, malgré les responsabilités générées par son emploi au sein I______, il s’était enquis auprès du secrétariat de la crèche D______ au sujet des démarches d'inscription pour la scolarité obligatoire de sa fille. Il lui avait été répondu de ne pas s'inquiéter, et que la DGEO allait automatiquement le contacter. Il ne s'était donc pas alarmé, et ce n'était que plus tard qu'il avait fortuitement découvert qu'il avait dépassé le délai d'inscription d'une semaine. La scolarité suisse était fondamentale pour la famille, et avait été la principale raison pour « renoncer à l'expatriation ». Son fils F______ avait sauté une classe et avait au cycle des résultats exceptionnels. 4) Le 4 avril 2022, le DIP a conclu au rejet du recours.![endif]&gt;![if&gt; L'enfant avait un membre de sa fratrie déjà au sein de l'école publique genevoise, si bien qu'elle y était en soi admissible. La demande d'admission avait toutefois été déposée le 7 mars 2022 alors que la date limite telle que prévue par l'art. 23 al. 3 REP était fixée au 31 janvier 2022. On ne pouvait que regretter que la crèche ait donné aux parents des renseignements erronés, mais cette structure ne dépendait pas de l'État de Genève, l'autorité compétente pour informer à ce sujet étant le DIP, via son site Internet officiel. Les circonstances personnelles mises en avant ne permettaient dès lors pas de déroger à la réglementation en vigueur. Selon la jurisprudence, l'administration ne disposait d'aucune latitude pour déterminer si les conditions d'admission dans l'enseignement public genevois posées par l'art. 23 REP étaient remplies ou non. 5) Le 13 avril 2022, le juge délégué a fixé aux parties un délai au 29 avril 2022 pour formuler toutes requêtes ou observations complémentaires, après quoi la cause serait gardée à juger.![endif]&gt;![if&gt; 6) Aucune des parties ne s'est manifestée.![endif]&gt;![if&gt;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Selon l'art. 65 al. 1 LPA, l'acte de recours contient, sous peine d'irrecevabilité, la désignation de la décision attaquée et les conclusions de la personne recourante.![endif]&gt;![if&gt;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ATA/721/2020 du 4 août 2020 consid. 2b). c. En l’espèce, si le recourant parle de « revoir » la décision attaquée, on comprend de son recours qu'il en demande l'annulation, ainsi que l'inscription de sa fille au sein de l'école publique genevoise pour la rentrée d'août 2022. Le recours est donc recevable. 3) Le litige porte sur le refus du DIP de scolariser l’enfant dans l’enseignement primaire public genevois.![endif]&gt;![if&gt; a. À teneur de l’art. 19 de la Constitution fédérale de la Confédération suisse du 18 avril 1999 (Cst. - RS 101),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d. L’art. 58 LIP prévoit que, sous réserve des al.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4) a. Au niveau réglementaire, l'art. 23 REP est applicable aux enfants domiciliés hors canton. Il prévoit que sont admis dans l'enseignement primaire public genevois : ![endif]&gt;![if&gt;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sœurs ainsi que les demi-frères et les demi-sœurs des enfants scolarisés au sein d'établissements scolaires publics genevois (al. 1 let. b). La demande d’admission au sens de l’al. 1 doit être déposée auprès de la DGEO dans le délai fixé chaque année par le département et publié sur le site Internet de ce dernier (al. 3), en l’espèce, le 31 janvier 2022 (https://www.ge.ch/inscrire-mon-enfant-ecole-primaire/enfant-domicilie-hors-du-canton, consulté le 23 mai 2022). b. Selon la jurisprudence de la chambre de céans, l'art. 23 REP dispose d'une base légale suffisante ( ATA/487/2020 du 19 mai 2020 consid. 6 à 9). 5) a. Selon l'art. 16 al. 1 LPA, un délai fixé par la loi ne peut être prolongé ; les cas de force majeure sont réservés.![endif]&gt;![if&gt; b. Tombent sous la notion de force majeure les événements extraordinaires et imprévisibles qui surviennent en dehors de la sphère d'activité de l'intéressé et qui s'imposent à lui de façon irrésistible ( ATA/470/2022 du 3 mai 2022 consid. 2b ; ATA/138/2021 du 9 février 2021 consid. 3a et b ; ATA/160/2019 du 19 février 2019 consid. 2b). Les conditions pour admettre un empêchement sont très strictes. Ce dernier doit être imprévisible et sa survenance ne doit pas être imputable à faute à l'administré (arrêts du Tribunal fédéral 8C_743/2019 du 20 décembre 2019 consid. 4.3 ; 2P.259/2006 du 18 avril 2007 consid. 3.2 ; ATA/486/2022 du 10 mai 2022 consid. 3c). L'empêchement doit être de nature telle que le respect des délais aurait exigé la prise de dispositions que l'on ne peut raisonnablement attendre de la part d'un homme d'affaires avisé ( ATA/470/2022 précité consid. 2b ; ATA/138/2021 précité consid. 3a et b). c. Le délai imparti par l’autorité peut être prolongé pour des motifs fondés si la partie en fait la demande avant son expiration (art. 16 al. 2 LPA). La restitution pour inobservation d’un délai imparti par l’autorité peut être accordée si la requérante ou le requérant ou son mandataire a été empêché sans sa faute d’agir dans le délai fixé. La demande motivée doit être présentée dans les dix jours à compter de celui où l’empêchement a cessé (art. 16 al. 3 LPA). 6) Le principe de la bonne foi protège le citoyen dans la confiance légitime qu’il met dans les assurances reçues des autorités lorsqu'il a réglé sa conduite d'après des décisions, des déclarations ou un comportement déterminé de l'administration (ATF 143 V 95 consid. 3.6.2 ; 141 V 530 consid. 6.2 ; arrêts du Tribunal fédéral 1C_104/2019 du 21 avril 2020 consid. 4.1 ; 8D_4/2017 du 26 avril 2018 consid. 5.5 ; 2C_382/2016 du 11 juillet 2017 consid. 7.2).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5.1).![endif]&gt;![if&gt; 7) En l'espèce, la demande d'inscription a été formulée le 9 février 2022, alors que la date-limite pour l'inscription des enfants domiciliés hors canton était fixée au 31 janvier 2022, ainsi que cela résultait tant du site Internet de l'État de Genève que de la publication faite dans la FAO. La date du 31 janvier de l'année de la rentrée scolaire visée n'était par ailleurs pas une nouveauté, étant la même que lors des années précédentes.![endif]&gt;![if&gt; Le délai prévu par l'art. 23 al. 3 REP s'apparente davantage à un délai légal qu'à un délai fixé par l'autorité, quand bien même la disposition précitée délègue au DIP le choix de la date-limite. Quoi qu'il en soit, la restitution d'un délai, qu'elle soit fondée sur l'al. 1 ou l'al. 3 de l'art. 16 LPA suppose l'absence de faute de l'administré. Or, le recourant dit – sans toutefois le prouver – s'être fondé sur des renseignements erronés de la crèche où est inscrite sa fille. Il ne prétend cependant pas s'être adressé au DIP, ni même avoir cherché la réponse à sa question sur un moteur de recherche. Dès lors, non seulement le principe de la bonne foi ne trouve pas application puisque l'auteur du renseignement prétendument erroné n'est pas une autorité, et encore moins une autorité compétente, mais l'on ne peut considérer que le comportement du recourant ne serait pas négligent, et par conséquent fautif. Une restitution de délai n'entre dès lors pas en ligne de compte, le recourant n'invoquant par ailleurs aucun argument susceptible d'amener à un constat différent. Il s'ensuit que la décision attaquée est conforme au droit, si bien que le recours sera rejeté. 8)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