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A/875/2011 vom 3. Oktober 2011</w:t>
      </w:r>
    </w:p>
    <w:p>
      <w:r>
        <w:t>GE Cour de justice, 2011-10-03, FR</w:t>
      </w:r>
    </w:p>
    <w:p>
      <w:r>
        <w:rPr>
          <w:b/>
        </w:rPr>
        <w:t xml:space="preserve">Quelle: </w:t>
      </w:r>
      <w:r>
        <w:t>https://mcp.opencaselaw.ch/entscheid/ge_gerichte_A_875_2011</w:t>
      </w:r>
    </w:p>
    <w:p>
      <w:r>
        <w:t>FR: GE_GERICHTE A/875/2011 du 3 octobre 2011</w:t>
      </w:r>
    </w:p>
    <w:p>
      <w:r>
        <w:t>IT: GE_GERICHTE A/875/2011 del 3 ottobre 2011</w:t>
      </w:r>
    </w:p>
    <w:p>
      <w:pPr>
        <w:pStyle w:val="Heading2"/>
      </w:pPr>
      <w:r>
        <w:t>Erwägungen</w:t>
      </w:r>
    </w:p>
    <w:p>
      <w:r>
        <w:rPr>
          <w:b/>
        </w:rPr>
        <w:t>E. 3</w:t>
      </w:r>
    </w:p>
    <w:p>
      <w:r>
        <w:t>En second lieu, il convient d'examiner si, à partir du 1 er janvier 2009, l'assuré pouvait exercer à raison de 50% une activité adaptée et de vérifier la détermination du degré d'invalidité retenu. a) L’art. 16 LPGA s’applique à l’évaluation de l’invalidité des assurés exerçant une activité lucrative, comme le recourant. Chez ces assurés,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de la personne valide se détermine en établissant au degré de la vraisemblance prépondérante ce qu'elle aurait effectivement pu réaliser au moment déterminant si elle était en bonne santé (ATF 129 V 224 consid. 4.3.1 et la référence). Le revenu d'invalide doit être évalué avant tout en fonction de la situation professionnelle concrète de l'intéressé. L'administration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(ATF 113 V 28 consid. 4a; 109 V 28 ). Cela étant,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M. du 22 septembre 2006, I 636/06, consid. 3.2). Le revenu d'invalide peut alors être évalué sur la base, notamment, des données salariales publiées par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78 consid. 5). b) Les experts du SMR ont considéré, à l'issue d'un examen médical, de l'analyse de l'ensemble des pièces médicales et d'une discussion circonstanciée, que le recourant était apte, six mois après l'intervention chirurgicale, à savoir dès le 1 er janvier 2009, à reprendre une activité adaptée à 50%. Les limitations fonctionnelles ont été décrites de manière détaillée, à savoir la nécessité de pouvoir alterner les positions assise et debout, d'éviter de soulever régulièrement des charges d'un poids supérieur à 5 kg et d'en porter de plus de 8 kg, d'éviter le travail en porte-à-faux statique du tronc, le travail avec des machines dégageant des vibrations ainsi que d'éviter la marche supérieure à 15 minutes. Le recourant n'apporte pas d'élément remettant en cause l'appréciation médicale faite par le SMR en ce qui concerne ses limitations fonctionnelles. Celle-ci est dûment motivée et n'est pas contredite par les avis des médecins qui suivent le patient. En effet, le Dr O____________ a indiqué, le 17 septembre 2010, que l'incapacité de travail en tant que maçon était entière et qu'il ne voyait pas quelle autre activité celui-ci pouvait exercer, compte tenu de l'absence de formation et de maîtrise de la langue française. Ces objections ne sont pas pertinentes, dès lors qu'elles ne se rapportent pas à l'exigibilité, sur le plan médical, dans une activité adaptée. Les limitations fonctionnelles cochées par le Dr O____________ dans le questionnaire de l'AI le 30 septembre 2009, ne se différencient, par ailleurs, pas non plus, sur le plan somatique, de celles retenues par les experts du SMR, sous réserve de la possibilité - exclue par le Dr O____________ d'exercer une activité dans différentes positions. Sur ce point cependant, ce praticien ne donne aucune explication. Cette seule divergence n'est ainsi pas de nature à remettre en cause l'appréciation faite par les experts du SMR. A noter encore que le Dr N____________ indique dans le questionnaire de l'AI rempli le 24 septembre 2009 que la capacité de travail en tant que maçon est nulle et répond par un point d'interrogation quant à celle, résiduelle, dans une activité adaptée. Au vu de ce qui précède, il y a lieu de retenir, sous l'angle de la vraisemblance, qu'à compter du 1er janvier 2009, l'assuré est capable de travailler à 50% dans une activité tenant compte de ses limitations fonctionnelles. c) Le revenu sans invalidité de 67'501 fr. en 2009 retenu par l'intimé n'est pas contesté; il correspond au demeurant aux indications fournies par l'ancien employeur du recourant. Quant au revenu d’invalide, le recourant n’ayant pas repris l’exercice d’une activité lucrative, il convient de se référer aux salaires statistiques (Enquête suisse sur la structure des salaires - ESS; ATF 126 V 76 consid. 3b/aa et bb ; VSI 2002 p. 68 consid. 3b). Comme cela a été déterminé ci-dessus, le recourant pourrait exercer une activité adaptée à 50%. Eu égard au large éventail d'activités simples et répétitives offertes par les secteurs de la production et des services, on peut considérer qu'un marché du travail équilibré offre un nombre significatif de postes de travail légers correspondant à cette description et ne demandant aucune formation professionnelle (p.ex. activités simples de vérification ou de contrôle, conditionnement léger, emballage de petits objets, assemblage/lavage de pièces). Selon les données de l'ESS 2008, le revenu annuel standardisé d’un homme exerçant une activité simple et répétitive s'élevait 59'979 fr. en 2008 (tableau TA1), montant qu'il convient d'adapter à l'indice suisse des salaires nominaux (cf. site internet de l’Office fédéral de la statistique), de sorte qu'en 2009 il était de 61'240 fr. L'abattement de 15% au vu de l'âge du recourant et de ses limitations fonctionnelles ne prête pas le flanc à la critique. Il résulte ainsi de la comparaison des revenus sans invalidité (67'501 fr.) et avec invalidité (61'240 fr. : 2 x 85% = 26'027 fr.) un degré d'invalidité de 61,4%. Ce degré d'invalidité ouvre le droit à des mesures de réadaptation, comme le reconnaît d'ailleurs l'intimé. Ce droit ne peut, en l'espèce, être nié du fait que l'assuré avait refusé ces mesures en 2008. En effet, comme exposé plus haut, en janvier 2008, le recourant était fondé à les refuser. Son état de santé a évolué depuis lors et il a fait part, dès réception de la décision querellée, de sa volonté de participer à des mesures professionnelles. Il convient donc de faire droit au recours sur ce point et d'inviter l'intimé à procéder aux mesures réclamées. A l'issue de celles-ci, il conviendra d'examiner si le degré d'invalidité aujourd'hui retenu devra être confirmé ou non. En conclusion, le recours est partiellement admis en ce sens que le droit à un trois quarts de rente prend naissance le 26 janvier 2009 (et non le 1 er avril 2009) et que le recourant a droit à la mise en place de mesures d'ordre professionnel. Selon les indications fournies par l'intimé dans sa réponse, ces mesures allaient être mises en œuvre rapidement. Il ne sera ainsi invité à y procéder qu'en tant que de besoin.</w:t>
      </w:r>
    </w:p>
    <w:p>
      <w:r>
        <w:rPr>
          <w:b/>
        </w:rPr>
        <w:t>E. 4</w:t>
      </w:r>
    </w:p>
    <w:p>
      <w:r>
        <w:t>L'intimé, qui succombe, s'acquittera d'un émolument de 200 fr. (art. 69 al. 1 bis LAI) ainsi que d'une indemnité à titre de participation aux frais et dépens de sa partie adverse de 1'500 fr. (art. 61 let. g LPGA ; art. 89H al. 3 LPA). * * * PAR CES MOTIFS, LA CHAMBRE DES ASSURANCES SOCIALES : Statuant A la forme : Déclare le recours recevable. Au fond : Admet partiellement le recours et annule la décision du 18 février 2011. Dit que le recourant à droit à un trois-quarts de rente à partir du 26 janvier 2009. Renvoie, en tant que de besoin, le dossier à l'intimé afin qu'il mette en place des mesures d'ordre professionnel. Met un émolument de 200 fr. à la charge de l'intimé. Condamne l’intimé à une indemnité de procédure de 1'500 fr. en faveur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