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A/874/2021 vom 14. April 2021</w:t>
      </w:r>
    </w:p>
    <w:p>
      <w:r>
        <w:t>GE Cour de justice, 2021-04-14, FR</w:t>
      </w:r>
    </w:p>
    <w:p>
      <w:r>
        <w:rPr>
          <w:b/>
        </w:rPr>
        <w:t xml:space="preserve">Quelle: </w:t>
      </w:r>
      <w:r>
        <w:t>https://mcp.opencaselaw.ch/entscheid/ge_gerichte_A_874_2021</w:t>
      </w:r>
    </w:p>
    <w:p>
      <w:r>
        <w:t>FR: GE_GERICHTE A/874/2021 du 14 avril 2021</w:t>
      </w:r>
    </w:p>
    <w:p>
      <w:r>
        <w:t>IT: GE_GERICHTE A/874/2021 del 14 aprile 2021</w:t>
      </w:r>
    </w:p>
    <w:p>
      <w:pPr>
        <w:pStyle w:val="Heading2"/>
      </w:pPr>
      <w:r>
        <w:t>Erwägungen</w:t>
      </w:r>
    </w:p>
    <w:p>
      <w:r>
        <w:rPr>
          <w:b/>
        </w:rPr>
        <w:t>E. 4</w:t>
      </w:r>
    </w:p>
    <w:p>
      <w:r>
        <w:t>ème Chambre En la cause Monsieur A______, domicilié ______, à COLOGNY comparant avec élection de domicile en l'étude de Maître Roman PINÖSCH Madame B______, domiciliée ______, à PARIS, comparant avec élection de domicile en l'étude de Maître Roman PINÖSCH demandeur demanderesse EN FAIT 1.        Madame B______ (ci-après la demanderesse) et Monsieur A______(ci-après le demandeur), tous deux ressortissants français, sont divorcés en vertu d'une convention de divorce par consentement mutuel par acte sous signature privée contresigné par avocats et déposé au rang des minutes de Maître C______, notaire à Montrouge (Hauts-de-Seine) du 6 janvier 2021. 2.        Le demandeur dispose d'avoirs de libre passage d'un montant de CHF 2'296'622.30 (avec une part LPP de CHF 84'818.92) à la date du divorce, soit le 6 janvier 2021 chez Finpension Fondation de libre passage. Au moment du mariage le 11 janvier 2014, la prestation de libre passage s'élevait à CHF 690'591.45. La demanderesse de dispose pas d'avoirs de prévoyance. 3.        Par requête commune en partage des avoirs de prévoyance (art. 122 et 123 du Code civil [CC - RS 210], les demandeurs ont requis de la chambre des assurances sociales de la Cour de justice qu'elle fixe le montant des avoirs de prévoyance accumulés pendant la durée du mariage du 11 janvier 2014 au 6 janvier 2021 à la somme de CHF 1'606'030.85, qu'elle ordonne le partage à parts égales des avoirs de prévoyance accumulés pendant la durée du mariage, conformément à l'art. 123 al. 1 CC, et qu'elle ordonne, en conséquence, à la caisse Finpension AG, ayant son siège social à Lucerne, de transférer depuis le compte du demandeur, la somme de CHF 803'015.43 sur le compte de libre passage ouvert par la demanderesse auprès de Finpension, Fondation de libre passage, au titre de partage des avoirs de prévoyance.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aCC). 2.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en cause ayant été rendu après l'entrée en vigueur, le 1 er janvier 2017, des nouvelles dispositions relatives au partage de la prévoyance professionnelle en cas de divorce, il y a lieu de les appliquer en l'espèce. 3.        L'art. 25 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Selon l'art. 22 al. 1 LFLP (dans sa teneur en vigueur depuis le 1 er janvier 2017), en cas de divorce, les prestations de sortie et les parts de rente sont partagées conformément aux art. 122 à 124e CC et 280 et 281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4.        Selon l'art. 64 al. 1 et al. 1bis de la loi fédérale sur le droit international privé du 18 décembre 1987 (LDIP - RS 291), entré en vigueur le 1 er janvier 2017,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Le message du Conseil fédéral concernant la révision du CC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Tel était déjà le cas sous l'empire de l'ancien droit, selon lequel les Tribunaux cantonaux d'assurances sociales étaient certes compétents pour exécuter le partage selon la clé de répartition fixée par le juge civil, mais ne pouvaient se substituer au juge civil pour déterminer la clé de répartition (ATF 132 III 401 consid. 2.2 p. 404; ATF 132 V 337 consid. 2.2 p. 341; arrêt du Tribunal fédéral 9C_388/2009 ). 5.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1.25 % en 2016 et 1 % dès le 1 er janvier 2017. En l'occurrence, les intérêts dus aux demandeurs sur la somme existant au jour du mariage ont déjà été calculés par les institutions de prévoyance défenderesses. 6.        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 La compétence qui lui est donnée par l'art. 134 al. 1 let. b LOJ ne concerne en effet que l'exécution du partage sur la base de la clé de répartition des prestations de prévoyance professionnelle décidée par le juge du divorce (ATF 132 III 401 consid. 2.2 p. 404; ATF 132 V 337 consid. 2.2 p. 341; arrêt du Tribunal fédéral 9C_388/2009 ). Aussi la chambre de céans ne peut-elle que refuser d'entrer en matière, faute de compétence et la cause sera transmise d'office au Tribunal de première instance (arrêt du Tribunal fédéral 9C_737/2010 ; ATAS/85/2018 du 30 janvier 2018). 7.        Aucun émolument ne sera perçu, la procédure étant gratuite (art. 73 al. 2 LPP et 89H al. 1 de la loi sur la procédure administrative du 12 septembre 1985 (LPA-GE - E 5 10).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