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A/870/2004 vom 26. Januar 2006</w:t>
      </w:r>
    </w:p>
    <w:p>
      <w:r>
        <w:t>GE Cour de justice, 2006-01-26, FR</w:t>
      </w:r>
    </w:p>
    <w:p>
      <w:r>
        <w:rPr>
          <w:b/>
        </w:rPr>
        <w:t xml:space="preserve">Quelle: </w:t>
      </w:r>
      <w:r>
        <w:t>https://mcp.opencaselaw.ch/entscheid/ge_gerichte_A_870_2004</w:t>
      </w:r>
    </w:p>
    <w:p>
      <w:r>
        <w:t>FR: GE_GERICHTE A/870/2004 du 26 janvier 2006</w:t>
      </w:r>
    </w:p>
    <w:p>
      <w:r>
        <w:t>IT: GE_GERICHTE A/870/2004 del 26 gennaio 2006</w:t>
      </w:r>
    </w:p>
    <w:p>
      <w:pPr>
        <w:pStyle w:val="Heading2"/>
      </w:pPr>
      <w:r>
        <w:t>Erwägungen</w:t>
      </w:r>
    </w:p>
    <w:p>
      <w:r>
        <w:rPr>
          <w:b/>
        </w:rPr>
        <w:t>E. 5</w:t>
      </w:r>
    </w:p>
    <w:p>
      <w:r>
        <w:t>% 50 % 2,5 % Alimentation 25 % 50 % 12,5 % Entretien du logement 20 % 80 % 16 % Emplettes et courses diverses</w:t>
      </w:r>
    </w:p>
    <w:p>
      <w:r>
        <w:rPr>
          <w:b/>
        </w:rPr>
        <w:t>E. 10</w:t>
      </w:r>
    </w:p>
    <w:p>
      <w:r>
        <w:t>% 80 % 8 % Lessive et entretien des vêtements 20 % 60 %</w:t>
      </w:r>
    </w:p>
    <w:p>
      <w:r>
        <w:rPr>
          <w:b/>
        </w:rPr>
        <w:t>E. 12</w:t>
      </w:r>
    </w:p>
    <w:p>
      <w:r>
        <w:t>% Total 100 % --- 63 % Elle invoque également le rapport du Dr G__________ et conteste les conclusions du rapport du SMR. Elle relève que, vu la similitude des activités et des efforts à accomplir, il est contradictoire de considérer d’une part qu’elle est dans l’incapacité totale d’exercer son métier de femme de ménage et d’autre part, qu’elle peut assurer l’entretien de son propre ménage. Elle s’insurge contre le fait que l’OCAI se soit fondé sur les résultats d’une enquête économique pratiquée en 2000, soit quatre ans avant la décision litigieuse. Elle fait également grief à l’OCAI d’avoir fait abstraction du fait que sa situation s’était aggravée durant les dernières années et demande qu’une nouvelle enquête soit effectuée. Selon elle, son incapacité serait désormais de 88,5% dans le cadre de ses activités ménagères. En définitive, la recourante demande que soient mises sur pied une nouvelle enquête économique sur le ménage et une expertise indépendante pour déterminer son degré d’invalidité. Principalement, elle conclut à l’octroi d’une rente entière dès le 1 er décembre 1998. Dans sa duplique du 20 septembre 2004, l’OCAI a admis que l’enquête économique sur le ménage du 24 octobre 2000 était incomplète et, afin de remédier à cette carence, a joint à son courrier copie des deux dernières pages de l’enquête, lesquelles contiennent le tableau suivant : Description des empêchements dus à l’invalidité Pondération du champ d’activité en % Empêchement Invalidité Conduite du ménage en principe, l'assurée peut gérer, à moins qu'elle ne soit dans une mauvaise passe sur le plan psychique 5 % 0 % 0 % Alimentation l'assurée peut préparer et cuire ses repas, elle met la table, la débarrasse, elle fait la vaisselle, remet sa cuisine en ordre. Son mari se charge de récurer le sol. Lorsqu'elle reçoit sa famille, elle se fait aider par ses enfants 36 % 10 % 3,6 % Entretien du logement l'assurée ne peut plus passer l'aspirateur ne peut plus laver les sols, entretenir les tapis avec une shampouineuse, elle n'ose plus grimper sur un escabeau et aller décrocher et suspendre les rideaux, nettoyer les vitres. Son mari et sa fille se chargent de ces tâches. L'assurée peut changer la literie, nettoyer le lavabo, les WC, la baignoire et le sol des sanitaires sont nettoyés par sa fille.</w:t>
      </w:r>
    </w:p>
    <w:p>
      <w:r>
        <w:rPr>
          <w:b/>
        </w:rPr>
        <w:t>E. 15</w:t>
      </w:r>
    </w:p>
    <w:p>
      <w:r>
        <w:t>%</w:t>
      </w:r>
    </w:p>
    <w:p>
      <w:r>
        <w:rPr>
          <w:b/>
        </w:rPr>
        <w:t>E. 20</w:t>
      </w:r>
    </w:p>
    <w:p>
      <w:r>
        <w:t>% 10 % 2 % Total 100 % ---</w:t>
      </w:r>
    </w:p>
    <w:p>
      <w:r>
        <w:rPr>
          <w:b/>
        </w:rPr>
        <w:t>E. 23</w:t>
      </w:r>
    </w:p>
    <w:p>
      <w:r>
        <w:t>% Il relève qu’aucun élément médical nouveau n’a été avancé témoignant d’une aggravation de l’état de santé de l’assurée. S’agissant des empêchements rencontrés dans l’exécution des tâches ménagères, il estime, compte tenu des circonstances concrètes et notamment de l’absence d’enfants en bas âge, qu’ils peuvent tout au plus donner lieu à une invalidité de l’ordre de 23% et relève que ce chiffre est conforme au taux retenu par le médecin du SMR. Il relève pour le surplus que les chiffres mentionnés par l’assurée dans son recours ne reposent pas sur des éléments objectifs : ainsi la conduite du ménage, par exemple, ne saurait être considérée comme diminuée en l’espèce puisqu’il s’agit de l’aspect organisationnel des tâches ménagères. Quant à l’aggravation de l’état de santé qui serait survenue en 2001, le SMR a souligné qu’il s’agissait plutôt d’une importante prise de poids. Enfin, il a fait valoir que l’activité de femme de chambre était physiquement lourde et ne peut être assimilée qu’à la seule partie correspondant aux travaux pénibles du propre ménage de l’assurée, de sorte qu’il n’est pas contradictoire de considérer que les empêchements rencontrés dans ces deux sphères d’activité sont différents. Par courrier du 29 novembre 2004, l’OCAI a transmis au Tribunal de céans un rapport médical établi le 16 novembre 2004 par le Dr H__________, du service de radiologie et médecine nucléaire de l’Hôpital de la Tour, tout en relevant que ce document est postérieur à la décision attaquée. Il ressort de ce rapport que l’assurée souffre de lombalgies et d’un ventre volumineux disproportionné sans masse palpable. Les conclusions du médecin sont les suivantes : l’examen abdominal permet de constater une obésité avec une augmentation massive des tissus graisseux intra et extra-abdominaux et la présence d’une stéatose hépatique avancée avec une atténuation des densités de 55 à 10 unités. Le reste de l’examen abdominal s’est révélé morphologiquement normal. Au niveau de la colonne lombaire, le médecin a constaté une discopathie au niveau L4 -L5 avec une protusion discale et probablement une hernie para-médiane gauche d’une profondeur de plus de 5 millimètres comprimant le fourreau dural et vraisemblablement l’émergence de la racine L5 gauche. D’autres discopathies plus modérées non compressives au niveau L5-S1 ont été diagnostiquées avec une légère asymétrie en défaveur du côté gauche également au niveau L3-L4 et un hémangiome dans la vertèbre L3. Le médecin a enfin constaté l’absence d’un effet de masse ou de collection liquidienne intra-abdominale. Par courrier du 6 décembre 2004, l’assurée a encore produit divers documents médicaux : Un rapport médical établi le 30 avril 2004 par les Drs I__________ et CLIVAZ, de la policlinique de médecine des HUG. Les diagnostics suivants ont été posés : état dépressif de degré léger, troubles de l’adaptation, probable syndrome douloureux chronique, obésité, lombalgie basse sur trouble chronique, douleurs sacro-illiaque bilatérales sur contraction musculaire, hypothyroïdie subclinique non substituée. Il a été précisé que l’état dépressif semblait alors bien compensé. Un certificat médical établi le 22 novembre 2004 par les Drs I__________et J__________, de la policlinique de médecine des HUG, certifie que l’assurée souffre d’un syndrome douloureux chronique depuis 1995. Aucune arthrite ni synovite n’a été mise en évidence. Les douleurs ont entraîné un arrêt de l’activité professionnelle au début de l’année 1998. Tous les points de fibromyalgie sont présents. On ne note pas de déficit sensitivomoteur. L’étiologie reste indéterminée, probablement en lien avec une importante somatisation vu le contexte familial difficile et les problèmes d’adaptation de la patiente. Les douleurs sont décrites comme invalidantes et les traitements comme ayant peu d’effet sur la symptomatologie. Dans ce contexte, les médecins ont estimé qu’une activité professionnelle paraissait difficile à envisager. Ces rapports ont été transmis à l'OCAI et un délai lui a été imparti pour se déterminer. L'autorité intimée a fait remarquer que les examens qui avaient eu lieu en avril 2004 aux HUG n'ont pas révélé de détérioration de son état de santé postérieure à la décision litigieuse du 6 avril 2004 et que, selon le rapport des Drs I__________ I__________ et CLAIVAZ, le syndrome dépressif était bien compensé. Il a par ailleurs relevé que le rapport du 22 novembre 2004 mentionnait notamment que l'étiologie restait indéterminée, probablement en lien avec une importante somatisation, et a rappelé à cet égard la jurisprudence selon laquelle les douleurs et plaintes subjectives ne suffisent pas pour justifier une invalidité et doivent être confirmées par des observations médicales concluantes. Lors de l'audience de comparution personnelle qui s'est tenue en date du 1 er décembre 2005, la recourante, assistée d'un interprète, a confirmé ne pas parler le français. Elle a indiqué avoir travaillé pour le J___________depuis 1990, époque où ses problèmes de santé "n'étaient pas si graves que cela". Elle a précisé que, même si elle ne souffrait pas beaucoup, elle était tout de même malade et aurait souhaité travailler à plein temps si elle en avait eu la possibilité. Son époux, après plusieurs opérations, ne travaille plus depuis trois ou quatre ans et a déposé une demande de prestation d'invalidité. Assistée, la famille rencontre de nombreuses difficultés financières. Un seul enfant est encore à la maison. Âgé de quinze ans, il ne dispose d'aucun revenu. Par courrier du 16 décembre 2005, l'OCAI a encore fait valoir que l'assurée a toujours travaillé à 50% depuis son arrivée en Suisse en 1988, alors même qu'elle ne rencontrait alors pas de problèmes de santé, que l'époux de l'assurée s'est vu opposé un refus de prestations d'invalidité par décision du 7 mars 2005 et que le fils de l'assurée bénéficie des prestations de l'AI sous la forme de mesures de formation scolaire spéciale. L'OCAI a estimé que l'aide des membres de la famille de la recourante pour le ménage était exigible dans le cadre de l'obligation de cette dernière de réduire le dommage. Sur ce, la cause a été gardée à juger. EN DROIT La loi genevoise sur l’organisation judiciaire (LOJ) a été modifiée et a institué, dès le 1 er août 2003, un Tribunal cantonal des assurances sociales, composé de cinq juges, dont un président et un vice-président, cinq suppléants et seize juges assesseurs (art. 1 let. r et 56 T LOJ). Suite à l’annulation de l’élection des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(art. 162 LOJ). Conformément à l'art. 56 V al. 1 let. a ch. 2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les faits étant antérieurs à l'entrée en vigueur de la LPGA, ce sont donc les anciennes dispositions qui s'appliquent. Les règles de procédure contenues dans la LPGA, quant à elles, s'appliquent sans réserve dès le jour de son entrée en vigueur (ATF 117 V 93 consid. 6b, 112 V 360 consid. 4a; RAMA 1998 KV 37 p. 316 consid. 3b). Interjeté dans les forme et délai prévus par la loi, le recours est recevable (art. 56ss LPGA). En l’espèce, le litige porte sur le droit de l’assurée à des prestations de l’assurance-invalidité. Aux termes de l'art. 4 LAI,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L'invalidité peut résulter d'une infirmité congénitale, d'une maladie ou d'un accident. L’invalidité est réputée survenue dès qu’elle est par sa nature et sa gravité, propre à ouvrir droit aux prestations entrant en considération. L'assuré a droit à une rente entière s'il est invalide à 66 2/3% au moins, à une demi-rente s'il est invalide à 50% au moins, ou à un quart de rente s'il est invalide à 40% au moins (art. 28, al. 1 LAI). Dans les cas pénibles, une invalidité de 40% au moins ouvre le droit à une demi-rente. (art. 28 al. 1bis LAI). Aux termes de l'art. 28 al. 2 LAI (dans sa teneur en vigueur jusqu'au 31 décembre 2002),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Il convient de procéder à l’évaluation du degré d’invalidité en optant pour l’une des trois méthodes suivantes : méthode générale de comparaison des revenus, méthode mixte ou méthode spécifique. Le choix de la méthode dépend du statut du bénéficiaire potentiel de la rente : assuré exerçant une activité lucrative à temps complet, assuré exerçant une activité lucrative à temps partiel, assuré non actif. On décide que l’assuré appartient à l’une ou l’autre de ces trois catégories en fonction de ce qu’il aurait fait - les circonstances étant par ailleurs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 117 V 194 consid. 3b et les références). Aux termes de l’art. 27bis RAI, lorsque les assurés n’exercent une activité lucrative qu’à temps partiel ou apportent une collaboration non rémunérée à l’entreprise de leur conjoint, l’invalidité pour cette part est évaluée selon l’art. 28 al. 2 LAI. Pour la part consacrée à leurs travaux habituels au sens de l'art. 5 al. 1 LAI, l'invalidité est fixée selon l'art. 27 RAI. L'invalidité est ainsi évaluée selon la méthode dite mixte. On applique la méthode générale de comparaison des revenus pour l'évaluation de l'invalidité dans l'activité lucrative et la méthode spécifique de comparaison des champs d'activité pour l'évaluation de l'invalidité dans l'activité ménagère. L'invalidité globale de la personne assurée résulte de l'addition des taux d'invalidité pondérés dans les deux domaines (RCC 1979 p. 276).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S’il y a lieu d’admettre que les assurés, s’ils ne souffraient d’aucune atteinte à la santé, exerceraient, au moment de l’examen de leur droit à la rente, une activité lucrative à temps complet, l’invalidité sera évaluée exclusivement selon les principes applicables aux personnes exerçant une activité lucrative. L’art. 27 RAI dispose que l’invalidité des assurés qui n’exerçaient pas d’activité lucrative est évaluée en fonction de l’empêchement d’accomplir leurs travaux habituels. Par travaux habituels des personnes travaillant dans le ménage et n’exerçant pas d’activité lucrative, on entend l’activité usuelle dans le ménage, l’éducation des enfants ainsi que l’engagement caritatif non rémunéré. Ainsi, il faut dès lors déterminer la part respective de l’activité lucrative et celle de l’accomplissement des travaux habituels et calculer le degré d’invalidité d’après le handicap dont l’assuré est affecté dans les deux activités en question (méthode mixte d’évaluation de l’invalidité). Il convient par conséquent d’évaluer d’une part l’invalidité dans les travaux habituels par comparaison des activités (art. 27 RAI) et d’autre part l’invalidité dans une activité lucrative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 on calcule donc le rapport en pourcent entre ces deux valeurs. La part de l’autre travail habituel constitue le reste du pourcentage (ATF 104 V 136 = RCC 1979 p. 28 consid. 2a ; RCC 1980 p. 565 ; RCC 1992 p. 136 et VSI 1999 p. 231 et ss.). En l’occurrence, l'assurée a travaillé à raison de 50% comme femme de ménage. Lors de l'enquête ménagère déjà, elle a allégué qu'elle aurait tenté de travailler à un taux plus élevé si elle n'avait été atteinte dans sa santé. Dans le même temps, elle a toutefois reconnu qu'au moment où elle avait commencé son travail, ses problèmes de santé ne se posaient pas. Cependant, à l'époque où elle a commencé à travailler , en 1998, elle était déjà mère de trois enfants relativement jeunes. C'est donc peut-être cette circonstance, plutôt que son état de santé, qui a influencé son choix. Lors de l'enquête ménagère, les problèmes financiers de la famille ont déjà été mentionnés. Il a d'ailleurs été relevé que l'époux de l'assurée travaillait de nuit et le dimanche pour augmenter son revenu. Il est donc effectivement vraisemblable qu'en l'espèce, si l'assurée avait pu travailler plus au moment de la survenance de l'invalidité, elle l'aurait fait, d'autant qu'elle se faisait alors déjà des soucis pour l'état de santé de son époux, atteint d'un cancer. Quoi qu'il en soit, la question du statut n'est pas déterminante puisque, même dans l'hypothèse la plus favorable à la recourante - à savoir celle où l'on considérerait qu'elle aurait travaillé à plein temps, le degré d'invalidité auquel on aboutit ne suffit pas à ouvrir droit à des prestations.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En l’espèce, les diagnostics ont été clairement posés et ne sont pas contestés. Il est avéré que la recourante souffre de dégénérescence discale, de protusion, de lombo-sciatalgies, d’obésité et d’anxiété. Les Drs F__________ et A__________ ont conclu à un syndrome douloureux chronique, voire à une fibromyalgie. Aucune des affections physique ne justifiant une incapacité de travail, il convient d'examiner les conséquences du syndrome douloureux chronique sur sa capacité de travail de l'assurée et sa capacité à tenir son ménage. Selon la jurisprudence, des troubles somatoformes douloureux peuvent, dans certaines circonstances, provoquer une incapacité de travail (ATF 120 V 119 consid. 2c/cc ; RSAS 1997 p. 75; RAMA 1996 No U 256 p. 217 et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gerichte-und-[psychiatrische] Gutachten, RSAS 1999, p. 1 et ss. et 105 et ss. ; VSI 2000 p. 155 consid. 2c).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et ss.).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Conformément à la jurisprudence du Tribunal fédéral des assurances, il convient de retenir principalement les conclusions globales de l'expertise multidisciplinaire effectuée par le SMR en date du 19 mai 2003 et non celle, forcément sectorielle, de spécialistes s'exprimant dans leur seul domaine. En effet, l'expertise pluridisciplinaire, qui prend en compte l'ensemble des différents troubles présentés par le patient et leur interférences possibles, paraît appropriée à une détermination objective de la capacité de travail dans une activité exigible (ATFA non publié du 6 août 2003 en la cause I/50/03). Le Tribunal de céans constate que l'expertise du SMR a pleine valeur probante au sens de la jurisprudence et retiendra donc l'évaluation des experts, à savoir une capacité de travail exigible de 100% dans une activité adaptée. En effet, il faut constater que le trouble somatoforme présenté par la recourante n'a pas valeur d'invalidité en l'occurrence puisqu'il ne remplit pas les critères posés par la jurisprudence. Ainsi, a notamment été mise en évidence l'absence de dépression majeure, de décompensation, d'anxiété généralisée, de troubles phobiques, de troubles de la personnalité morbide. De même, le SMR a conclu à l'absence de perturbations de l'environnement psychosocial et à celle de maladie psychiatrique chronique invalidante. Il a certes admis la présence d'un trouble de l'adaptation mais rappelé que l'exploration psychiatrique n'avait pas révélé de psychopathologie déterminant la diminution de l'exigibilité d'une activité adaptée.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Pour évaluer le gain d’invalide, il y a lieu, conformément à une jurisprudence bien établie, de se référer aux données statistiques (Enquête suisse sur la structure des salaires - ESS) lorsque, comme en l’espèce, l’assuré n’a pas repris d’activité lucrative (ATF 126 V 76 et ss. consid. 3b/aa et bb ; VSI 2002 p. 68 consid. 3b). Lorsque, le revenu d'invalide est évalué sur la base des statistiques sur les salaires moyens, certains empêchements propres à la personne de l'invalide (limitations liées au handicap, âge, années de service, nationalité, catégorie d'autorisation de séjour et taux d'occupation) exigent que l'on réduise le montant des salaires ainsi obtenus (ATF 126 V 79 ss. consid. 5b/aa).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(ATF 126 V 80 consid. 5b/bb). Une déduction globale maximum de 25% sur le salaire statistique permet de tenir compte des différents éléments qui peuvent influencer le revenu d'une activité lucrative (ATF 126 V 80 consid. 5b/cc; VSI 2002 p. 64). En l'occurrence, la division de réadaptation de l'OCAI a retenu à titre de poste de travail envisageable une activité répétitive et non qualifiée dans l'industrie manufacturière. Elle a en outre appliqué une réduction supplémentaire de 15% pour tenir compte de limitations fonctionnelles qui ont été reconnues à l'assurée. Le revenu finalement obtenu, de 38'199 fr., a ensuite été comparé à celui réalisé par l'assurée, à savoir 36'880 fr. Force est de constater qu'il n'en résulte aucune invalidité pour la recourante et ce, même si la réduction de revenu maximale de 20% avait été appliquée. Quant à d'éventuelles mesures de reclassement, il a déjà été souligné par plusieurs médecins qu'elles étaient inutiles et certainement vouées à l'échec vu l'absence totale de motivation de la recourante ainsi que ses difficultés à maîtriser la langue française notamment. Eu égard à ce qui précède, le recours, mal fondé,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