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A/86/2024 vom 23. Dezember 2024</w:t>
      </w:r>
    </w:p>
    <w:p>
      <w:r>
        <w:t>GE Cour de justice, 2024-12-23, FR</w:t>
      </w:r>
    </w:p>
    <w:p>
      <w:r>
        <w:rPr>
          <w:b/>
        </w:rPr>
        <w:t xml:space="preserve">Quelle: </w:t>
      </w:r>
      <w:r>
        <w:t>https://mcp.opencaselaw.ch/entscheid/ge_gerichte_A_86_2024</w:t>
      </w:r>
    </w:p>
    <w:p>
      <w:r>
        <w:t>FR: GE_GERICHTE A/86/2024 du 23 décembre 2024</w:t>
      </w:r>
    </w:p>
    <w:p>
      <w:r>
        <w:t>IT: GE_GERICHTE A/86/2024 del 23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Cour de céans est régie par les dispositions de la LPGA et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Dans la mesure où l’accident est survenu le 13 octobre 2022, le droit du recourant aux prestations d’assurance est soumis aux dispositions en vigueur depuis le 1 er janvier 2017 ( cf . dispositions transitoires relatives à la modification du 25 septembre 2015; arrêt du Tribunal fédéral 8C_662/2016 du 23 mai 2017 consid. 2.2).</w:t>
      </w:r>
    </w:p>
    <w:p>
      <w:r>
        <w:rPr>
          <w:b/>
        </w:rPr>
        <w:t>E. 3</w:t>
      </w:r>
    </w:p>
    <w:p>
      <w:r>
        <w:t>Le litige porte sur le droit du recourant aux prestations d’assurance au-delà du 13 avril 2023.</w:t>
      </w:r>
    </w:p>
    <w:p>
      <w:r>
        <w:rPr>
          <w:b/>
        </w:rPr>
        <w:t>E. 4.1</w:t>
      </w:r>
    </w:p>
    <w:p>
      <w:r>
        <w:t>Aux termes de l’art. 6 al. 1 LAA,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Selon l’art. 6 al. 2 LAA, l’assurance alloue aussi ses prestations pour les lésions corporelles suivantes, pour autant qu’elles ne soient pas dues de manière prépondérante à l’usure ou à une maladie : les fractures (let. a), les déboîtements d’articulations, les déchirures du ménisque (let. c), les déchirures de muscles (let. d), les élongations de muscles (let. e), les déchirures de tendons (let. f), les lésions de ligaments (let. g), les lésions du tympan (let. h).</w:t>
      </w:r>
    </w:p>
    <w:p>
      <w:r>
        <w:rPr>
          <w:b/>
        </w:rPr>
        <w:t>E. 4.2</w:t>
      </w:r>
    </w:p>
    <w:p>
      <w:r>
        <w:t>Dans un 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en revanche, en l’absence d’un accident au sens juridique, le cas doit être examiné sous l’angle de l’art. 6 al. 2 LAA (ATF 146 V 51 consid. 9.1; résumé dans la RSAS 1/2020 p. 33ss.; arrêt du Tribunal fédéral 8C_520/2020 du 3 mai 2021 consid. 5.1).</w:t>
      </w:r>
    </w:p>
    <w:p>
      <w:r>
        <w:rPr>
          <w:b/>
        </w:rPr>
        <w:t>E. 4.3</w:t>
      </w:r>
    </w:p>
    <w:p>
      <w:r>
        <w:t>En l’espèce, il n’est pas contesté par les parties que l’événement du 13 octobre 2022 est constitutif d’un accident au sens de l’art. 4 LPGA. Partant, il n’est pas nécessaire de déterminer si certaines lésions constatées par les médecins figurent dans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 ci-après : consid. 5.2 et 5.3).</w:t>
      </w:r>
    </w:p>
    <w:p>
      <w:r>
        <w:rPr>
          <w:b/>
        </w:rPr>
        <w:t>E. 5</w:t>
      </w:r>
    </w:p>
    <w:p>
      <w:r>
        <w:t>Il convient ainsi d’examiner, au regard des principes exposés à l’ATF 146 V 51 précité, la question du lien de causalité entre les lésions constatées et l’accident du 13 octobre 2022,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5.1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 arrêt du Tribunal fédéral 8C_441/2017 du 6 juin 2018 consid. 3.2).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5.4</w:t>
      </w:r>
    </w:p>
    <w:p>
      <w:r>
        <w:t>Le droit à des prestations d’assurance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6.2.2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 cf . arrêt du Tribunal fédéral 8C_681/2011 du 27 juin 2012 consid. 4.1 et les références).</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w:t>
      </w:r>
    </w:p>
    <w:p>
      <w:r>
        <w:rPr>
          <w:b/>
        </w:rPr>
        <w:t>E. 8.2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 cf .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11.1</w:t>
      </w:r>
    </w:p>
    <w:p>
      <w:r>
        <w:t>Faisant siennes les appréciations des 15 mars et 12 juillet 2023 de son médecin-conseil, l’intimée considère que le statu quo sine vel ante était rétabli six mois après l’accident du 13 octobre 2022 et qu’ainsi, elle était en droit de mettre un terme à l’octroi des prestations avec effet le 13 avril 2022 au soir. Pour sa part, le recourant conteste, en substance, la survenance de ce statu quo six mois après l’accident du 13 octobre 2022. Se fondant sur le rapport du 13 juin 2023 de la Dre E______, il soutient qu’il n’existerait aucune cause autre que cet accident pour expliquer les lésions à son épaule gauche et l’incapacité de travail en découlant. Il ajoute que cette incapacité était toujours d’actualité le 1 er novembre 2023, soit bien au-delà de la date du 13 avril 2022 retenue pour l’arrêt des prestations.</w:t>
      </w:r>
    </w:p>
    <w:p>
      <w:r>
        <w:rPr>
          <w:b/>
        </w:rPr>
        <w:t>E. 11.2</w:t>
      </w:r>
    </w:p>
    <w:p>
      <w:r>
        <w:t>La Cour de céans constate que l’IRM de l’épaule gauche, réalisée à l’Hôpital de la Tour le 6 décembre 2022, objective une dégénérescence graisseuse partielle de stade III selon Goutallier pour le muscle sous-scapulaire et de stade II pour le reste des muscles de la coiffe ( cf . pièce 7 intimée). Étant donné que le Dr F______ et la Dre E______ s’en font tous deux l’écho ( cf . pièces 9 et 22 intimée), mais avec des avis différents sur l’origine des lésions de la coiffe des rotateurs, il est nécessaire d’examiner si l’avis du Dr F______ peut se voir reconnaître valeur probante. Dans son rapport du 12 juillet 2023, ce médecin-conseil retient que l’accident du 13 octobre 2022 n’a occasionné qu’une contusion de l’épaule gauche, ayant aggravé passagèrement – durant six mois – un état antérieur. Pour parvenir à cette conclusion, il explique que la dégénérescence graisseuse de stade II à III, l’amyotrophie et la rétraction tendineuse de stade II à III, visualisées par l’IRM du 6 décembre 2022, sont des éléments objectifs permettant de dire que la lésion de la coiffe des rotateurs précédait d’au moins deux à trois ans l’accident. Pour sa part, la Dre E______ indique dans son rapport du 3 janvier 2023 que le recourant « présente dans les suites d’un accident, une rupture complète de la coiffe gauche ». Elle précise, le 13 juin 2023, que cette affection a pour origine l’accident du 13 octobre 2022, sans qu’un état antérieur ait participé à l’atteinte. La Cour de céans relève que le seul diagnostic en lien de causalité avec l’accident retenu par le Dr F______, à savoir une contusion de l’épaule gauche, a également été posé par le Dr C______ dans son rapport du 30 octobre 2022. Pour le surplus, les explications du Dr F______ sur l’antériorité de la lésion de la coiffe des rotateurs sont claires et précises et se fondent sur un examen complet du dossier, en particulier des documents d’imagerie. Pour sa part, la Dre E______, n’explique dans aucun de ses rapports pour quelle raison elle attribue les lésions de la coiffe des rotateurs de l’épaule gauche au seul événement du 13 octobre 2022, bien qu’elle ait rapporté, le 3 janvier 2023, la présence « d’une dégénérescence graisseuse type 3 de Goutallier au niveau du tendon sous-scapulaire » (pièce 9 intimée). On rappellera à cet égard que le fait que des symptômes douloureux ne se sont manifestés qu’après la survenance d’un accident ne suffit pas en soi à établir un rapport de causalité naturelle avec cet événement (raisonnement « post hoc, ergo propter hoc » ; ci-dessus : consid. 5.1). Il s’ensuit qu’en l’absence d’explications plus poussées sur l’étiologie des lésions de l’épaule gauche, les appréciations non motivées de la Dre E______ sont dépourvues de valeur probante. D’autre part, celles-ci ne laissent pas subsister de doutes suffisants quant à la fiabilité et la pertinence des conclusions du Dr F______. Ainsi, le rapport du 12 juillet 2023 de ce médecin-conseil, qui est bien motivé, peut se voir reconnaître valeur probante.</w:t>
      </w:r>
    </w:p>
    <w:p>
      <w:r>
        <w:rPr>
          <w:b/>
        </w:rPr>
        <w:t>E. 11.3</w:t>
      </w:r>
    </w:p>
    <w:p>
      <w:r>
        <w:t>D’avis contraire, le recourant fait valoir que le Dr F______ ne l’a jamais examiné, contrairement à ses médecins traitants. Cet élément n’a pas le poids que le recourant lui attribue. En effet, les documents d’imagerie versés au dossier sont apparemment suffisamment explicites pour que le Dr F______ puisse porter un jugement sur les éléments qu’il juge pertinents (dégénérescence graisseuse de stade II à III). Puisque les mêmes remaniements dégénératifs sont également relevés par la Dre E______, on peut considérer qu’ils sont bien établis. En conséquence, l’absence d’examen personnel du recourant par le Dr F______ n’est pas de nature à priver le rapport du 12 juillet 2023 de sa valeur probante.</w:t>
      </w:r>
    </w:p>
    <w:p>
      <w:r>
        <w:rPr>
          <w:b/>
        </w:rPr>
        <w:t>E. 11.4</w:t>
      </w:r>
    </w:p>
    <w:p>
      <w:r>
        <w:t>Compte tenu de ce qui précède, la Cour de céans considère qu’il est établi, au degré de la vraisemblance prépondérante, que l’accident du 13 octobre 2022 a déstabilisé durant six mois un état dégénératif antérieur à l’épaule gauche et qu’à compter du 14 avril 2023, les troubles résiduels à l’épaule gauche résultaient exclusivement de causes étrangères à cet accident. En conséquence, l’intimée était fondée à mettre un terme à l’octroi des prestations légales (prestations pour soins et indemnités journalières) avec effet le 13 avril 2023 au soir.</w:t>
      </w:r>
    </w:p>
    <w:p>
      <w:r>
        <w:rPr>
          <w:b/>
        </w:rPr>
        <w:t>E. 12</w:t>
      </w:r>
    </w:p>
    <w:p>
      <w:r>
        <w:t>Il s’ensuit que le recours doit être rejeté.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