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A/86/2004 vom 20. Juli 2004</w:t>
      </w:r>
    </w:p>
    <w:p>
      <w:r>
        <w:t>GE Cour de justice, 2004-07-20, FR</w:t>
      </w:r>
    </w:p>
    <w:p>
      <w:r>
        <w:rPr>
          <w:b/>
        </w:rPr>
        <w:t xml:space="preserve">Quelle: </w:t>
      </w:r>
      <w:r>
        <w:t>https://mcp.opencaselaw.ch/entscheid/ge_gerichte_A_86_2004</w:t>
      </w:r>
    </w:p>
    <w:p>
      <w:r>
        <w:t>FR: GE_GERICHTE A/86/2004 du 20 juillet 2004</w:t>
      </w:r>
    </w:p>
    <w:p>
      <w:r>
        <w:t>IT: GE_GERICHTE A/86/2004 del 20 luglio 2004</w:t>
      </w:r>
    </w:p>
    <w:p>
      <w:pPr>
        <w:pStyle w:val="Heading2"/>
      </w:pPr>
      <w:r>
        <w:t>Regeste</w:t>
      </w:r>
    </w:p>
    <w:p>
      <w:r>
        <w:t>; AM ; ASSURANCE DES SOINS MÉDICAUX ET PHARMACEUTIQUES ; ADHÉSION À L'ASSURANCE SOCIALE ; DOMICILE ; INTENTION DE S'ÉTABLIR ; CENTRE DE VIE | rappel de jurisprudence | LAMal6; LaLAMal1; CC23</w:t>
      </w:r>
    </w:p>
    <w:p>
      <w:pPr>
        <w:pStyle w:val="Heading2"/>
      </w:pPr>
      <w:r>
        <w:t>Erwägungen</w:t>
      </w:r>
    </w:p>
    <w:p>
      <w:r>
        <w:rPr>
          <w:b/>
        </w:rPr>
        <w:t>E. 6</w:t>
      </w:r>
    </w:p>
    <w:p>
      <w:r>
        <w:t>Selon l’art. 23 alinéa 1 CCS, le domicile de toute personne est au lieu où elle réside avec l’intention de s’y établir. Aux termes de l’art. 23 alinéa 2 CCS, nul ne peut avoir en même temps deux domiciles (principe de l’unité du domicile). L’art. 24 alinéa 1 CCS précise que toute personne conserve son domicile aussi longtemps qu’elle ne s’en est pas créé un nouveau. Selon la jurisprudence, la notion de domicile comporte deux éléments : d’une part la volonté de rester dans un endroit de façon durable et d’autre part la manifestation de cette volonté par une résidence effective dans ce lieu (ATF 41 III 51 , JT 1915 II 93 ; ATF 92 I 218 , JT 1967 581). Pour savoir si une personne réside, dans un lieu avec l’intention de s’y établir, ce qui importe n’est pas la volonté interne de cette personne mais les circonstances, reconnaissables pour des tiers, qui permettent de déduire qu’elle a cette intention (ATF 97 II 1 , JT 1972 I 348 ). Pour savoir quel est le domicile d’une personne, il faut tenir compte de l’ensemble de ses conditions de vie, le centre de son existence – lors même qu’elle exerce une profession – étant à l’endroit où se trouvent ses intérêts personnels, c’est-à-dire où vit sa famille qu’elle va retrouver aussi souvent que son activité professionnelle le lui permet, surtout s’il s’agit d’une occupation passagère (ATF 88 III 135 , JT 1963 II 2 ). Le lieu où ses papiers d’identité ont été déposés n’est qu’un indice (ATF 102 V 162 , JT 1977 IV 108 ) et n’entre pas en ligne de compte comparativement aux rapports et aux intérêts personnels (ATF 91 III 47 , JT 1965 II 66 ), pas plus que l’indication d’un lieu figurant dans des décisions judiciaires et des publications officielles (ATF 96 II 161 , JT 1971 II 75 ). Selon le Tribunal fédéral (ATF 120 Ib 302 ), la notion de domicile n’est pas fondamentalement différente de celle de résidence habituelle (cf. Résolution n° 72 du Conseil de l’Europe du 18 janvier 1972 in RCDIP 1973, p. 847 et 848). En droit international privé et en particulier dans les conventions internationales de La Haye élaborées depuis 1951, le rattachement au domicile est de plus en plus souvent remplacé par celui de la résidence habituelle (KNOEPFLER/SCHWEIZER, Précis de droit international privé suisse, p. 151 n° 449 ; BUCHER n° 49-51 ad art. 2). Il s’agit donc de déterminer objectivement, en se fondant sur des circonstances reconnaissables pour les tiers où se trouve le lieu où le recourant réside de manière durable, c’est-à-dire de rechercher où se situe le centre de ses intérêts vitaux, le centre de ses relations personnelles et professionnelles (ATA C.-B. du 7 octobre 2003). Dans le cas particulier, il apparaît que le recourant se fait soigner à l’établissement hospitalier ainsi qu’auprès de médecins fribourgeois et que sa famille réside à Fribourg. Il y loue un appartement pour un loyer de 1'369 fr. par mois, alors qu’il n’occupe à Genève qu’une simple chambre à 270 fr. par mois. Il a déclaré par acte du 12 octobre 2001 qu’il rejoignait son logement à Chénens aussitôt son service terminé. Par ailleurs, son engagement en qualité d’auxiliaire a un caractère temporaire, du fait qu’il s’agit d’un contrat à durée déterminée. De l’ensemble de ces éléments, il y a lieu de déduire que l’intéressé ne s’est pas créé un nouveau domicile à Genève au sens de l’art. 23 CCS et qu’il a conservé son domicile à Chénens, qui est le centre de ses intérêts personnels, reconnaissable comme tel par des tiers. Au demeurant, il n’est pas déterminant que l’intéressé ait déposé ses papiers à Genève en date du 1er janvier 2000, car cela ne constitue qu’un indice, non concluant en l’espèce, de domicile à Genève (cf. ATF 102 V 162 , JT 1977 IV 108 ). Le motif invoqué, à savoir profiter des prestations de l’office cantonal du logement, est par ailleurs irrelevant juridiquement. En outre, l’attestation du secrétariat général de Chénens du 11 novembre 2003, selon laquelle l’intéressé aurait son domicile dans cette commune, et l’information opposée donnée par un employé de la commune le 24 novembre 2003, sont contradictoires, de sorte qu’elles doivent pour cette raison être écartées. S’agissant du statut d’employé auxiliaire de l’Etat de Genève du recourant, l’art. 7 alinéa 1 de la loi générale relative au personnel de l’administration cantonale et des établissements publics médicaux (LPAC) indique qu’est un auxiliaire le membre du personnel engagé en cette qualité pour une durée déterminée ou indéterminée aux fins d’assumer des travaux temporaires. L’art. 15 alinéa 1 LPAC prévoit que les membres du personnel occupant une fonction permanente et qui sont au bénéfice d’un engagement de durée indéterminée doivent avoir leur domicile et leur résidence effective dans le canton de Genève. Dès lors, son statut d’employé auxiliaire de l’Etat de Genève ne l’obligeait pas à s’inscrire à l’office cantonal de la population genevoise. Toutefois, au vu des explications qui précèdent, cela ne constitue pas une preuve de création d’un nouveau domicile à Genève. Le recourant ayant conservé son domicile à Chénens, il appartenait à la CSS Assurance d’estimer les primes d’assurance du recourant selon les tarifs fribourgeois dès le mois de décembre 2000. Le recours est donc admis.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