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A/868/2009 vom 9. Juli 2009</w:t>
      </w:r>
    </w:p>
    <w:p>
      <w:r>
        <w:t>GE Cour de justice, 2009-07-09, FR</w:t>
      </w:r>
    </w:p>
    <w:p>
      <w:r>
        <w:rPr>
          <w:b/>
        </w:rPr>
        <w:t xml:space="preserve">Quelle: </w:t>
      </w:r>
      <w:r>
        <w:t>https://mcp.opencaselaw.ch/entscheid/ge_gerichte_A_868_2009</w:t>
      </w:r>
    </w:p>
    <w:p>
      <w:r>
        <w:t>FR: GE_GERICHTE A/868/2009 du 9 juillet 2009</w:t>
      </w:r>
    </w:p>
    <w:p>
      <w:r>
        <w:t>IT: GE_GERICHTE A/868/2009 del 9 luglio 2009</w:t>
      </w:r>
    </w:p>
    <w:p>
      <w:pPr>
        <w:pStyle w:val="Heading2"/>
      </w:pPr>
      <w:r>
        <w:t>Regeste</w:t>
      </w:r>
    </w:p>
    <w:p>
      <w:r>
        <w:t>For de la poursuite. | La Commission de surveillance retient qu'au jour de la notification du commandement de payer, le domicile principal du poursuivi était à Londres et non à Genève où il ne disposait que d'un logement secondaire. | LP.17.4 ; 46</w:t>
      </w:r>
    </w:p>
    <w:p>
      <w:pPr>
        <w:pStyle w:val="Heading2"/>
      </w:pPr>
      <w:r>
        <w:t>Erwägungen</w:t>
      </w:r>
    </w:p>
    <w:p>
      <w:r>
        <w:rPr>
          <w:b/>
        </w:rPr>
        <w:t>E. 2</w:t>
      </w:r>
    </w:p>
    <w:p>
      <w:r>
        <w:t>Les deux plaintes ont été formées en temps utile et dans les formes prescrites contre un commandement de payer et une décision de l'Office (art. 17 LP ; art. 56R al. 3 LOJ ; art. 10 al. 1 et 13 LaLP). En sa qualité de poursuivant, le plaignant a qualité pour agir par cette voie. Elles seront par conséquent déclarées recevables. 3.a. Selon l'art. 17 al. 4 LP, l'Office peut, jusqu'à l'envoi de sa réponse à une plainte, procéder à un nouvel examen de la décision attaquée, à charge pour lui, s'il prend une nouvelle décision, de la notifier sans délai aux parties et d'en donner connaissance à la Commission de céans. Cette dérogation à l'effet dévolutif de la plainte vaut jusqu'au dépôt d'une éventuelle duplique qui serait ordonnée dans le cadre de la procédure ( DCSO/250/2005 , consid. 2.a. du 19 mai 2004 ; Pierre-Robert Gilliéron , Commentaire, ad art. 17 n° 259). Si l'Office a reconsidéré une décision, l'autorité de surveillance doit néanmoins examiner celle-ci, pour autant toutefois que la décision de reconsidération n'ait pas rendu la plainte sans objet ( DCSO/239/2007 du 11 mai 2007). 3.b. En l'espèce, l'Office, suite à la plainte (A/868/2009) dirigée contre le commandement de payer, a pris une nouvelle décision. Il a annulé la notification de cet acte et déclaré la poursuite considérée comme nulle et non avenue, au motif que le poursuivi n'a pas de domicile en Suisse, au sens de l'art. 46 al. 1 LP. L'issue de cette plainte, qui tend à ce que l'opposition soit déclarée nulle, dépend de celle qui sera donnée à la seconde plainte (A/1175/2009), dont il convient d'examiner le bien-fondé au préalable. 4.a. 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4.b.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 Le moment décisif pour juger de l’existence d’un for de la poursuite est celui de la notification du commandement de payer, et non celui du dépôt de la réquisition de poursuite, qui, contrairement à l’envoi d’un avis de saisie (art. 53 LP), ne fige pas la situation à cet égard ( DCSO/260/2007 consid. 2.c. du 31 mai 2007). 5.a. Dans le cas particulier, le commandement de payer a été notifié le 20 février 2009. Selon les données de l'Office cantonal de la population, le poursuivi, à l'instar du reste des autres membres de sa famille, n'était, à cette date, pas domicilié à Genève. Aucun d'eux ne l'était d'ailleurs durant les années précédentes, - à l'exception de feu son épouse, du 9 juin au 6 août 2006, et de sa fille AP______, du 23 février 2006 au 31 mars 2008. A teneur de ces mêmes données, l'établissement du poursuivi dans le canton remonte au 1 er avril 2009, date à laquelle il a quitté la Grande-Bretagne, comme l'atteste d'ailleurs le "certificat de nationalité et d'immatriculation" délivré par l'Ambassade de Suisse à Londres et daté du 28 avril 2009. 5.b. Le plaignant, bien qu'il ait, sur sa réquisition de poursuite, indiqué que le poursuivi était domicilié au xx, rue O______, affirme que ce dernier vit à Genève depuis 2005 au xx, quai B______, dans une chambre de bonne. Suite au dépôt de la seconde plainte, un collaborateur de l'Office s'est rendu à cette adresse et a constaté que le nom du poursuivi ne figurait sur aucune porte de l'un ou l'autre des appartements ou des chambres de bonnes de l'immeuble concerné. Son nom n'était mentionné que sur la boîte aux lettres de M. S______, occupant un appartement au 4 ème étage de l'immeuble. La location de ce logement au précité a été confirmée par le poursuivi, lequel a également déclaré que, lorsqu'il se trouvait à Genève, où il ne passait pas plus de cinq mois répartis sur un an, il résidait dans un studio sis xx, quai B______, propriété de ses enfants, à l'instar de l'appartement loué. Il ressort de la liste des périodes durant lesquelles il ne séjournait pas à Genève en 2008 et durant le premier trimestre 2009, établie par le poursuivi, et des cartes d'embarquements émises à son nom, que ce dernier a résidé, respectivement, en Grande-Bretagne, France, Italie, Afrique du Sud, Espagne, Turquie et à Singapour pendant près de sept mois en 2008 et de cinquante jours entre janvier et mars 2009, dont, environ, la moitié à Londres. Il en découle que l'intéressé a passé un peu plus de temps à Genève que dans la cité londonienne. 5.c. Lorsqu'une personne séjourne en deux endroits différents et qu'elle a des relations avec ces deux endroits, le domicile se trouve au lieu avec lequel elle a les relations les plus étroites, compte tenu de l'ensemble des circonstances. La durée du séjour n'est pas déterminante en soi (ATF 7B.241/2003 du 8 janvier 2004 consid. 4 et la jurisprudence citée). En l'occurrence, le poursuivi s'est installé en Angleterre avec sa famille en 1990 et a acquis, avec feu son épouse, un appartement de 200 m2 à Londres, au xx, V______ place en 2000, dans lequel il a continué à vivre avec deux de ses enfants - contrairement aux allégués du poursuivant, cette demeure n'a pas été louée à un tiers depuis 2007. L'une des ses filles vit également à Londres, ses deux autres enfants vivent, respectivement à San Francisco et à Paris. Il a été immatriculé auprès de l'Ambassade suisse à Londres jusqu'au 31 mars 2009 ; sa carte d'électeur de la "City of Westminster", son permis de conduire britannique, les factures de téléphone, gaz et électricité, les taxes immobilières et ses relations bancaires mentionnent toutes l'adresse londonienne précitée laquelle fait également office de bureau pour les clients de sa société, étant relevé que l'essentiel de son activité professionnelle se fait par internet ; administrateur de F______ SA , il figurait au Registre du commerce, jusqu'au 4 mai 2009 - date de la publication dans la FOSC -, comme étant domicilié à Londres ; M. B______, autre administrateur de la société, a déclaré le 16 mars 2009, sous la foi du serment, qu'à sa connaissance le poursuivi résidait à Londres et qu'il souhaitait venir à Genève ; ses fils, TP______ et CP______ sont inscrits, auprès des autorités compétentes à la même adresse. Le poursuivi a, par ailleurs, déclaré que c'est à Londres et dans les environs de cette ville qu'il avait beaucoup d'amis et de la famille. Lorsque l'intéressé séjourne à Genève, il vit dans un studio de 16 m2, propriété de ses enfants qui l'occupent aussi selon leurs besoins. L'appartement sis à la même adresse, xx, quai B______, également propriété de ces derniers, est loué à un tiers. Il n'a pas de famille proche dans cette ville. Lors de son audition, le poursuivi, qui avait du reste fait part de son intention à l'Office, a expliqué les raisons pour lesquelles il avait décidé, à fin mars 2009, de s'établir sur le territoire genevois, indiquant notamment que c'est à compter de cette date qu'il avait trouvé un appartement - au xx, rue V______ -, que l'un de ses fils va quitter Londres pour travailler en Extrême-Orient et que l'autre est inscrit à l'université de Washington à compter du mois de septembre 2009. A son arrivée à Genève, il s'est, conformément à la loi (art. 1 al. 2 de la Loi sur le séjour et l'établissement des Confédérés, F 2 05), annoncé auprès de l'autorité compétente. Le poursuivi a également fait procéder à la modification de son domicile auprès du Registre du commerce et a déclaré à l'Ambassade de Suisse à Londres qu'il quittait la Grande-Bretagne. Au vu des pièces produites et des déclarations de poursuivi, la Commission de céans retiendra en conséquence qu'au jour de la notification du commandement de payer, le domicile principal du précité était à Londres et non à Genève, où il ne disposait que d'un logement secondaire.</w:t>
      </w:r>
    </w:p>
    <w:p>
      <w:r>
        <w:rPr>
          <w:b/>
        </w:rPr>
        <w:t>E. 4</w:t>
      </w:r>
    </w:p>
    <w:p>
      <w:r>
        <w:t>La décision de l'Office annulant la notification du commandement de payer faute de for à Genève est donc fondée. Il s'ensuit que la plainte (A/1175/2009) doit être rejetée et qu'il n'a y pas lieu de se prononcer sur la validité de l'opposition formée au commandement de payer, poursuite n° 09 xxxx52 P. La Commission de céans constatera dès lors que la plainte (A/868/2009) est devenue sans objet en cours de procédure. PAR CES MOTIFS, LA COMMISSION DE SURVEILLANCE SIÉGEANT EN SECTION : Préalablement : Joint les causes A/868/2009 et A/1175/2009 en une même procédure sous cause A/868/2009. A la forme : Déclare recevables les plaintes formées par M. C______ le 4 mars 2009 (A/868/2009) et le 30 mars 2009 (A/1175/2009) dans le cadre de la poursuite n° 09 xxxx52 P. Au fond : 1. Rejette la plainte enregistrée sous cause A/1175/2009. 2. Constate que la plainte enregistrée sous cause A/868/2009 est devenue sans objet en cours de procédure. 3. Déboute les parties de toutes autres conclusions. Siégeant : Mme Ariane WEYENETH, présidente ; Mme Florence CASTELLA et M. Denis MATHEY,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