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A/866/2024 vom 27. August 2024</w:t>
      </w:r>
    </w:p>
    <w:p>
      <w:r>
        <w:t>GE Cour de justice, 2024-08-27, FR</w:t>
      </w:r>
    </w:p>
    <w:p>
      <w:r>
        <w:rPr>
          <w:b/>
        </w:rPr>
        <w:t xml:space="preserve">Quelle: </w:t>
      </w:r>
      <w:r>
        <w:t>https://mcp.opencaselaw.ch/entscheid/ge_gerichte_A_866_2024</w:t>
      </w:r>
    </w:p>
    <w:p>
      <w:r>
        <w:t>FR: GE_GERICHTE A/866/2024 du 27 août 2024</w:t>
      </w:r>
    </w:p>
    <w:p>
      <w:r>
        <w:t>IT: GE_GERICHTE A/866/2024 del 27 agosto 2024</w:t>
      </w:r>
    </w:p>
    <w:p>
      <w:pPr>
        <w:pStyle w:val="Heading2"/>
      </w:pPr>
      <w:r>
        <w:t>Erwägungen</w:t>
      </w:r>
    </w:p>
    <w:p>
      <w:r>
        <w:rPr>
          <w:b/>
        </w:rPr>
        <w:t>E. 2</w:t>
      </w:r>
    </w:p>
    <w:p>
      <w:r>
        <w:t>Le recourant conclut préalablement à l’audition de C______ en qualité de témoin.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eu l’occasion de se déterminer et de produire toute pièce utile devant le PCTN et, à deux reprises devant la chambre de céans. Il a produit devant le PCTN un contrat portant la signature de C______ et devant la chambre de céans une attestation de ce dernier affirmant en substance qu’il avait « travaillé sur » sa plaque durant deux semaines du 15 au 31 janvier 2022. Il n’indique pas quels éléments supplémentaires l’audition de C______ serait susceptible d’apporter, et en particulier si ce dernier serait capable de prouver qu’il a effectivement utilisé son AUADP durant cette période. Or, il sera vu plus loin que seul le recourant est en mesure de prouver sa propre activité effective durant la période critique par l’allégation qu’il a réellement travaillé en qualité de taxi et la production de preuves établissant qu’il a effectué et facturé des courses. L’audition de C______ n’apparaît ainsi pas nécessaire. Le dossier est complet et en état d’être jugé. Il ne sera pas donné suite à la demande d’acte d’instruction.</w:t>
      </w:r>
    </w:p>
    <w:p>
      <w:r>
        <w:rPr>
          <w:b/>
        </w:rPr>
        <w:t>E. 3</w:t>
      </w:r>
    </w:p>
    <w:p>
      <w:r>
        <w:t>Le recourant se plaint d’une constatation inexacte des faits. L’intimé aurait nié à tort qu’il était l’utilisateur effectif d’une AUADP lors de l’adoption de la LTVTC.</w:t>
      </w:r>
    </w:p>
    <w:p>
      <w:r>
        <w:rPr>
          <w:b/>
        </w:rPr>
        <w:t>E. 3.1</w:t>
      </w:r>
    </w:p>
    <w:p>
      <w:r>
        <w:t>La LTVTC, actuellement en vigueur depuis le 1 er novembre 2022, résulte du projet de loi (ci-après : PL) n° 12'649 sur les taxis et les voitures de transport avec chauffeur, déposé par le Conseil d’État devant le Grand Conseil le 26 février 2020.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taxis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w:t>
      </w:r>
    </w:p>
    <w:p>
      <w:r>
        <w:rPr>
          <w:b/>
        </w:rPr>
        <w:t>E. 3.2</w:t>
      </w:r>
    </w:p>
    <w:p>
      <w:r>
        <w:t>À propos de la nature effective de l’utilisation de plaques, la chambre de céans a jugé que le chauffeur de taxis qui avait été absent de Suisse de janvier à mars 2022 n’était pas, durant cette période, l’utilisateur effectif des plaques louées, peu importait les motifs pour lesquels il s’était rendu à l’étranger ( ATA/687/2023 du 27 juin 2023 consid. 3.9). Elle a de même considéré qu’en l’absence de location d’une AUADP au 28 janvier 2022, un chauffeur ne pouvait pas être considéré comme ayant été « utilisateur effectif » d’une AUADP au sens de l’art. 46 al. 13 LTVTC, au motif qu’il était en incapacité de travail provisoire durant cette période ( ATA/814/2024 du 9 juillet 2024, non encore définitif). Il ressort par ailleurs des travaux parlementaires que les utilisateurs effectifs des AUADP étaient les personnes qui les exploitaient effectivement, soit les locataires, dont l’AUADP était l’outil de travail, étant précisé qu’aucune exigence de durée minimale d’utilisation effective de l’AUADP par son locataire n’apparaît à aucun moment dans les travaux préparatoires ( ATA/779/2023 précité consid. 5.5.3 et les références citées).</w:t>
      </w:r>
    </w:p>
    <w:p>
      <w:r>
        <w:rPr>
          <w:b/>
        </w:rPr>
        <w:t>E. 3.3</w:t>
      </w:r>
    </w:p>
    <w:p>
      <w:r>
        <w:t>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les documents (let. a) et les renseignements des parties (let. b). L'autorité peut inviter les parties à la renseigner, notamment en produisant les pièces en leur possession ou à se prononcer sur les faits constatés ou allégués et leur fixer un délai à cet effet (art. 24 al. 1 LPA). En vertu de l'art. 24 al. 2 LPA, l'autorité apprécie librement l'attitude d'une partie qui refuse de produire une pièce ou d'indiquer où celle-ci se trouve. Elle peut ainsi le cas échéant déclarer irrecevables les conclusions de parties qui refusent de produire les pièces et autres renseignements indispensables pour que l'autorité puisse prendre sa décision.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et les références citées ; arrêt du Tribunal fédéral 1C_80/2018 du 23 mai 2019 consid. 4.1 ; ATA/1192/2015 du 3 novembre 2015 consid. 2b). La portée de la maxime inquisitoire est ainsi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(art. 8 CC ; ATF 112 Ib 65 consid. 3 ; arrêt du Tribunal fédéral 1C_170/2011 du 18 août 2011 consid. 3.2 ; ATA/597/2024 du 14 mai 2024 consid. 4.9).</w:t>
      </w:r>
    </w:p>
    <w:p>
      <w:r>
        <w:rPr>
          <w:b/>
        </w:rPr>
        <w:t>E. 3.4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3.5</w:t>
      </w:r>
    </w:p>
    <w:p>
      <w:r>
        <w:t>En l’espèce, le recourant n’a indiqué dans sa première comme dans sa seconde requête aucune utilisation d’AUADP en janvier 2022. Le 22 décembre 2022, il avait indiqué au PCTN qu’au moment de l’adoption de la LTVTC le 28 janvier 2022, il ne possédait pas de « contrat de location de plaques » et précisait que suite à une augmentation excessive du prix de location des plaques, le contrat avait été résilié pour le 27 juillet 2021. Dans sa seconde requête, il a laissé vide la rubrique, pourtant nouvelle, « utilisateur effectif le 28 janvier 2022 », n’indiquant ni l’identité du bailleur ni plaques d’immatriculation utilisées à cette date. Conformément à la jurisprudence suscitée, ces trois indications initiales concordantes permettaient au PCTN de conclure que le recourant ne remplissait pas la condition à la délivrance d’une AUADP. Le recourant explique dans sa réplique que le remplacement de l’expression « location » par « usage effectif » l’avait convaincu qu’il pouvait également produire un contrat n’impliquant pas le paiement d’un loyer, si bien qu’il avait alors produit le contrat portant sur la période du 15 au 31 janvier 2022. Cette explication n’est pas convaincante. Le contrat produit en dernier lieu par le recourant porte dans son titre et ses dispositions le terme de « location ». Cela étant, le contrat lui-même n’est guère probant. Il est dépourvu de date. Il a pour objet un « essai de location de plaques de taxi » mais ne prévoit rien pour la suite. Le recourant n’indique nulle part sur quoi porterait un essai de deux semaines ni sur quoi un tel essai pourrait déboucher. Il n’explique pas pour quels motifs l’essai aurait eu lieu à titre gratuit, alors que C______ lui avait auparavant loué la même AUADP pour CHF 700.- par mois plus la taxe annuelle, et qu’il avait lui-même indiqué au PCTN avoir mis fin au contrat en 2021 en raison des coûts croissants. L’intérêt économique immédiat ou à terme de C______ n’est évoqué nulle part et ne ressort d’aucune pièce. Or, un essai a par définition pour objet de tester les conditions réelles qui pourraient ensuite faire l’objet d’un contrat durable, mais force est de constater que le recourant n’indique rien à ce propos. Enfin, le recourant ne donne aucune indication sur ce qui s’est passé effectivement au terme de l’essai et pour quels motifs celui-ci n’a apparemment débouché sur rien. Dans ces circonstances, la mise à disposition gratuite, à titre d’essai, sans plus de précisions, d’une AUADP pour une période de deux semaines coïncidant avec l’adoption de la loi, soit la date à laquelle le recourant devait précisément être l’utilisateur effectif d’une AUADP, pouvait être considéré à bon droit par le PCTN comme particulièrement insolite en soi, et a fortiori après les déclarations initiales du recourant. Le PCTN pouvait donc, sans excès ni abus de son pouvoir d’appréciation, considérer la production du « contrat d’essai de location de plaques de Taxi » comme inapte à infirmer les premières déclarations du recourant et à établir un usage effectif d’une AUADP à la période déterminante. À ce stade, il ne pouvait être attendu du PCTN, et le recourant ne le lui reproche d’ailleurs pas, d’instruire plus avant la requête. En vertu de l’obligation des parties de collaborer et de prouver les faits dont elles entendent déduire des droits, c’était en effet au recourant qu’il appartenait d’établir qu’il était bien l’utilisateur effectif d’une AUADP le 28 janvier 2022. À ce propos, ni l’attestation ni le témoignage de C______ ne sont propres à établir l’usage concret que le recourant aurait lui-même fait de l’AUADP et du véhicule qui lui auraient été confiés. Seul le recourant, qui exerce l’activité de chauffeur de taxi à titre indépendant et ne soutient pas avoir été salarié, est en effet à même d’établir qu’il a effectivement utilisé l’AUADP à titre de taxi – ainsi qu’il s’y était d’ailleurs engagé dans le contrat – durant les deux dernières semaines du mois de janvier 2022 pour renverser la forte présomption de véracité s’attachant à ses premières déclarations. C’est ainsi sur ses épaules que pèse le fardeau de la preuve, ce que la PCTN n’a pas manqué de rappeler dans sa réponse. Or, alors même que l’occasion lui en était donnée et que l’incombance lui en avait été rappelée, le recourant n’a non seulement produit aucune pièce indiquant qu’il aurait accompli des courses durant les deux semaines en question – comme par exemple des quittances, des relevés de compte, des relevés de centrale d’appels et de téléphone, sa comptabilité, sa déclaration de revenu ou son bordereau de taxation – mais il n’a pas même allégué avoir accompli des courses, et encore moins précisé si c’était de jour ou de nuit ou encore quels jours de la semaine, et pour quels revenus, alors même que la période critique constituait selon lui un essai, au déroulement duquel on pouvait s’attendre qu’il fût particulièrement attentif. Le recourant échoue ainsi à rendre vraisemblable qu’il était l’utilisateur effectif d’une AUADP lorsque la LTVTC a été adoptée le 28 janvier 2022, et qu’il remplissait la condition posée par l’art. 46 al. 13 LTVTC et la jurisprudence à l’octroi d’une AUADP. Entièrement mal fondé, son recours sera rejeté.</w:t>
      </w:r>
    </w:p>
    <w:p>
      <w:r>
        <w:rPr>
          <w:b/>
        </w:rPr>
        <w:t>E. 4</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