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A/860/2024 vom 14. Juni 2024</w:t>
      </w:r>
    </w:p>
    <w:p>
      <w:r>
        <w:t>GE Cour de justice, 2024-06-14, FR</w:t>
      </w:r>
    </w:p>
    <w:p>
      <w:r>
        <w:rPr>
          <w:b/>
        </w:rPr>
        <w:t xml:space="preserve">Quelle: </w:t>
      </w:r>
      <w:r>
        <w:t>https://mcp.opencaselaw.ch/entscheid/ge_gerichte_A_860_2024</w:t>
      </w:r>
    </w:p>
    <w:p>
      <w:r>
        <w:t>FR: GE_GERICHTE A/860/2024 du 14 juin 2024</w:t>
      </w:r>
    </w:p>
    <w:p>
      <w:r>
        <w:t>IT: GE_GERICHTE A/860/2024 del 14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(art. 65 al. 2 1 ère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ATA/20/2022 du 11 janvier 2022 consid. 2b et les arrêts cités).</w:t>
      </w:r>
    </w:p>
    <w:p>
      <w:r>
        <w:rPr>
          <w:b/>
        </w:rPr>
        <w:t>E. 2.2</w:t>
      </w:r>
    </w:p>
    <w:p>
      <w:r>
        <w:t>En l'espèce, le recourant n'a pas pris de conclusions formelles en annulation de la décision querellée. Cela étant, il a expliqué les raisons pour lesquelles il estimait qu’elle devait être modifiée, ce qui est suffisant pour comprendre qu'il est en désaccord avec cette décision et souhaite son annulation.</w:t>
      </w:r>
    </w:p>
    <w:p>
      <w:r>
        <w:rPr>
          <w:b/>
        </w:rPr>
        <w:t>E. 2.3</w:t>
      </w:r>
    </w:p>
    <w:p>
      <w:r>
        <w:t>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ATA/679/2023 du 26 juin 2023 consid. 2 ; ATA/498/2022 du 11 mai 2022 consid. 2 ; ATA/50/2022 du 18 janvier 2022 consid. 2). Le recours est donc recevable.</w:t>
      </w:r>
    </w:p>
    <w:p>
      <w:r>
        <w:rPr>
          <w:b/>
        </w:rPr>
        <w:t>E. 3</w:t>
      </w:r>
    </w:p>
    <w:p>
      <w:r>
        <w:t>L’objet du litige porte sur la conformité avec le droit de la décision qui sanctionne le recourant de quinze jours de suppression d’accès à la grande et à la petite salle de sport.</w:t>
      </w:r>
    </w:p>
    <w:p>
      <w:r>
        <w:rPr>
          <w:b/>
        </w:rPr>
        <w:t>E. 4</w:t>
      </w:r>
    </w:p>
    <w:p>
      <w:r>
        <w:t>Le recourant se plaint implicitement d’une constatation inexacte des faits, puisqu’il conteste s’être mis à hurler et à taper contre les vitres et avoir ignoré les injonctions des agents de détention.</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4.2</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4.3</w:t>
      </w:r>
    </w:p>
    <w:p>
      <w:r>
        <w:t>Le statut des personnes incarcérées à la prison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notamment, d'une façon générale, de troubler l'ordre et la tranquillité de l'établissement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ou encore g) le placement en cellule forte pour 10 jours au plus. Le directeur peut déléguer ces compétences à un membre du personnel gradé (art. 47 al. 7 RRIP).</w:t>
      </w:r>
    </w:p>
    <w:p>
      <w:r>
        <w:rPr>
          <w:b/>
        </w:rPr>
        <w:t>E. 4.4</w:t>
      </w:r>
    </w:p>
    <w:p>
      <w:r>
        <w:t>De jurisprudence constante, la chambre de céans accorde généralement valeur probante aux constatations figurant dans un rapport de police, établi par des agents assermentés sauf si des éléments permettent de s'en écarter ( ATA/719/2021 du</w:t>
      </w:r>
    </w:p>
    <w:p>
      <w:r>
        <w:rPr>
          <w:b/>
        </w:rPr>
        <w:t>E. 4.5</w:t>
      </w:r>
    </w:p>
    <w:p>
      <w:r>
        <w:t>En matière de sanctions disciplinaires, l'autorité dispose d'un large pouvoir d'appréciation ; le pouvoir d'examen de la chambre administrative se limite à l'excès ou l'abus du pouvoir d'appréciation (art. 61 al. 2 LPA ; ATA/498/2022 du 11 mai 2022 consid. 5f ; ATA/383/2021 du 30 mars 2021 consid. 4e). 5. En l’espèce, les faits reprochés au recourant tels qu’ils ressortent du rapport du 15 février 2024 sont les suivants : « lors de la remontée de la promenade, les cinq détenus hurlent et frappent contre la vitre afin d’attirer l’attention des détenus remontant de la promenade ». Dans sa réponse au recours, la prison a ajouté que deux agents de détention présents avaient été contraints de recadrer les cinq personnes détenues, dont le recourant. Ces dernières avaient ignoré les injonctions des agents de détention et continué leurs agissements. Selon l’intimée, les images de vidéosurveillance attestaient effectivement du fait qu’au lieu d’attendre calmement devant l’ascenseur, le temps que les personnes détenues qui étaient en promenade remontent, le recourant et quatre autres personnes détenues avaient frappé contre la vitre et communiqué avec les personnes détenues qui remontaient de la promenade. On voyait également sur les images que les deux agents de détention s’adressaient aux personnes détenues concernées faisant des gestes induisant d’arrêter leurs agissements. Les personnes détenues semblaient ignorer les injonctions et continuaient à taper contre la vitre et échanger avec les personnes détenues remontant de la promenade. Le visionnage des images de vidéosurveillance ne permet toutefois pas de retenir les faits tels qu’établis par l’autorité intimée. Il n’est en effet pas possible de distinguer les cinq personnes détenues qui auraient hurlé et frappé contre la vitre. On ne discerne en effet aucun mouvement brutal en direction des vitres. La vidéosurveillance n’enregistrant pas le son, il n’est pas non plus possible d’établir si, comme l’indique l’autorité intimée, le recourant et quatre autres détenus auraient hurlé et crié en direction des autres détenus. Il ressort certes du visionnage des images que les autres détenus remontant de leur promenade ont communiqué avec les détenus attendant devant l’ascenseur. La communication – verbale et visuelle – apparaît toutefois relativement calme. Il n’est, au demeurant, pas possible de distinguer les deux agents de détention qui auraient fait des gestes pour induire les détenus à cesser leur comportement. On peut, tout au plus, apercevoir un agent se mouvoir légèrement en s’adressant aux détenus. On ne discerne cependant aucune insistance de sa part, ni geste concret sommant les détenus d’arrêter leurs agissements. Enfin, il ne ressort pas des images de vidéosurveillance que les détenus auraient été invités à se déplacer vers l’ascenseur en attendant que les autres détenus remontent de leur promenade. Les faits tels qu’ils résultent du visionnage des images de vidéosurveillance permettent ainsi de s’écarter des éléments figurant dans le rapport d’incident, et cela même en tenant compte de la valeur probante généralement accordée aux rapports établis par des agents assermentés. En effet, sur la base des éléments qui précèdent, il ne peut pas être reproché au recourant d’avoir hurlé et frappé contre la vitre afin d’attirer l’attention des détenus remontant de la promenade. C’est partant à tort qu’une sanction lui a été infligée. La sanction ayant été exécutée, il n’est matériellement plus possible de l’annuler. La chambre de céans se limitera donc à constater son caractère illicite ( ATA/63/2021 du 19 janvier 2021 ; ATA/1792/2019 du 10 décembre 2019 ; ATA/309/2016 du 12 avril 2016 ; ATA/238/2016 du 15 mars 2016).</w:t>
      </w:r>
    </w:p>
    <w:p>
      <w:r>
        <w:rPr>
          <w:b/>
        </w:rPr>
        <w:t>E. 6</w:t>
      </w:r>
    </w:p>
    <w:p>
      <w:r>
        <w:t>Vu l’issue du litige, aucun émolument ne sera perçu (art. 87 al. 1 LPA) et aucune indemnité de procédure ne sera allouée au recourant, qui n’y a pas conclu et qui n’est pas représenté par 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