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A/860/2023 vom 10. November 2023</w:t>
      </w:r>
    </w:p>
    <w:p>
      <w:r>
        <w:t>GE Cour de justice, 2023-11-10, FR</w:t>
      </w:r>
    </w:p>
    <w:p>
      <w:r>
        <w:rPr>
          <w:b/>
        </w:rPr>
        <w:t xml:space="preserve">Quelle: </w:t>
      </w:r>
      <w:r>
        <w:t>https://mcp.opencaselaw.ch/entscheid/ge_gerichte_A_860_2023</w:t>
      </w:r>
    </w:p>
    <w:p>
      <w:r>
        <w:t>FR: GE_GERICHTE A/860/2023 du 10 novembre 2023</w:t>
      </w:r>
    </w:p>
    <w:p>
      <w:r>
        <w:t>IT: GE_GERICHTE A/860/2023 del 10 novembre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Interjeté dans les formes prévues par la loi (art. 89B de la loi sur la procédure administrative du 12 septembre 1985 [LPA - E 5 10]) et dans le délai de recours de trente jours (art. 60 LPGA), le recours est recevable.![endif]&gt;![if&gt;</w:t>
      </w:r>
    </w:p>
    <w:p>
      <w:r>
        <w:rPr>
          <w:b/>
        </w:rPr>
        <w:t>E. 2</w:t>
      </w:r>
    </w:p>
    <w:p>
      <w:r>
        <w:t>![endif]&gt;![if&gt;</w:t>
      </w:r>
    </w:p>
    <w:p>
      <w:r>
        <w:rPr>
          <w:b/>
        </w:rPr>
        <w:t>E. 2.1</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2.2</w:t>
      </w:r>
    </w:p>
    <w:p>
      <w:r>
        <w:t>En l’occurrence, la décision querellée concerne un premier octroi de rente dont le droit est potentiellement né après le 1 er janvier 2022, de sorte que les dispositions légales applicables seront citées dans leur nouvelle teneur.![endif]&gt;![if&gt;</w:t>
      </w:r>
    </w:p>
    <w:p>
      <w:r>
        <w:rPr>
          <w:b/>
        </w:rPr>
        <w:t>E. 3</w:t>
      </w:r>
    </w:p>
    <w:p>
      <w:r>
        <w:t>Le litige porte sur le droit de la recourante a une rente de l'assurance-invalidité et, en particulier, sur le choix de la méthode d'évaluation de l'invalidité.![endif]&gt;![if&gt;</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3.2</w:t>
      </w:r>
    </w:p>
    <w:p>
      <w:r>
        <w:t>Selon la jurisprudence,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 ![endif]&gt;![if&gt;</w:t>
      </w:r>
    </w:p>
    <w:p>
      <w:r>
        <w:rPr>
          <w:b/>
        </w:rPr>
        <w:t>E. 3.3</w:t>
      </w:r>
    </w:p>
    <w:p>
      <w:r>
        <w:t>Pour évaluer le degré d'invalidité, il existe principalement trois méthodes : la méthode générale de comparaison des revenus (art. 16 LPGA en lien avec l’art. 28a al. 1 LAI), la méthode spécifique (art. 28a al. 2 LAI) et la méthode mixte (art. 28a al. 3 LAI). ![endif]&gt;![if&gt; Selon l’art. 24 septies RAI, le statut d’un assuré est déterminé en fonction de la situation professionnelle dans laquelle il se trouverait s’il n’était pas atteint dans sa santé (al. 1). À teneur de l'al. 2 de cette disposition, l’assuré est réputé exercer une activité lucrative au sens de l’art. 28a al. 1 LAI dès lors qu’en bonne santé, il exercerait une activité lucrative à un taux d’occupation de 100% ou plus (let. a) ; il est réputé ne pas exercer d’activité lucrative au sens de l’art. 28a al. 2 LAI dès lors qu’en bonne santé, il n’exercerait pas d’activité lucrative (let. b) ; enfin, il est réputé exercer une activité lucrative à temps partiel au sens de l’art. 28a al. 3 LAI dès lors qu’en bonne santé, il exercerait une activité lucrative à un taux d’occupation de moins de 100% (let. c). Le choix de la méthode applicable dépend ainsi du statut du bénéficiaire potentiel de la rente : assuré exerçant une activité lucrative à temps complet, assuré sans activité lucrative, ou assuré exerçant une activité lucrative à temps partiel (ATF 141 V 15 consid. 3.2 ; ATF 137 V 334 consid. 3.1). Selon la jurisprudence, pour déterminer la méthode d'évaluation de l'invalidité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 consid. 2.3 ; 137 V 334 consid. 3.2 et les références).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référence).![endif]&gt;![if&gt;</w:t>
      </w:r>
    </w:p>
    <w:p>
      <w:r>
        <w:rPr>
          <w:b/>
        </w:rPr>
        <w:t>E. 4</w:t>
      </w:r>
    </w:p>
    <w:p>
      <w:r>
        <w:t>En l'espèce, l'intimé a retenu un statut ménager et estimé qu'une enquête ménagère n'était pas nécessaire, dès lors que la recourante pouvait, selon lui, vraisemblablement continuer d'exercer son activité de femme au foyer. La recourante conteste ce statut ménager, faisant valoir que si elle n'avait pas été atteinte dans sa santé, elle aurait exercé une activité lucrative à plein temps.![endif]&gt;![if&gt; Il convient donc d'examiner la question du statut de la recourante afin de déterminer quelle méthode d'évaluation de l'invalidité doit être appliquée au cas d'espèce. En l'occurrence, il ressort du dossier et des documents produits en cours de procédure, en particulier des formulaires de preuves de recherches d'emploi et des justificatifs joints, ainsi que des attestations d'inscription à l'OCE, que la recourante a effectué plusieurs recherches d'emploi pour un poste à plein temps dès janvier 2020 et s'est inscrite au chômage le 26 mars 2020 pour un taux de 100% dès cette date. À la fin de l'année 2020, elle a appris qu'elle était atteinte de sclérose en plaques et a débuté un suivi psychiatrique en mars 2021. Malgré cela, elle a néanmoins régulièrement poursuivi ses recherches d'emploi. Le diagnostic de déficit mental léger a été posé en juin 2022 et c'est dans ce contexte qu'elle a été mise à l'arrêt et a déposé une demande de prestations auprès de l'intimé. Il ressort également du dossier que l’intéressée a connu une première période de chômage entre 1998 et 2004. Selon les déclarations constantes de la recourante, elle a toujours eu des difficultés scolaires, raison pour laquelle elle a fini sa scolarité obligatoire dans le système d'éducation spécialisée et intégré un poste dans un atelier protégé, puis s'est retrouvée au chômage durant quatre ans, ce qui est corroboré par son extrait de compte individuel, ainsi que par les rapports de son psychiatre et de la neuropsychologue. Durant cette première période de chômage, l’intéressée a eu ses deux premiers enfants et est néanmoins demeurée inscrite au chômage, de sorte qu'on ne peut pas retenir qu'en devenant parent, elle aurait décidé de se consacrer exclusivement à sa famille. Aussi, plusieurs éléments au dossier, en particulier le fait que la recourante ait effectué des démarches au chômage et des recherches d'emploi à plein temps, et ce avant qu'elle ne découvre ses atteintes à la santé et dépose une demande de prestations, tendent en faveur d'une volonté de la recourante d'exercer une activité lucrative. C’est le lieu de rappeler que le fait d’avoir un enfant en bas âge pendant la période de chômage ne l’a pas empêchée par le passé de poursuivre ses recherches d'emploi. L'intimé s’est toutefois limité à retenir que la recourante a indiqué être femme au foyer pour en conclure qu'elle présentait un statut ménager. Or, le Tribunal fédéral a déjà eu l'occasion de relever qu'en accordant une importance décisive au fait que l'assurée avait indiqué dans sa demande de prestations qu'elle était femme au foyer, l'OAI perdait de vue que l'assurée n'avait pas, par cette mention, exposé quelle avait été son activité type sans atteinte à la santé, mais bien décrit quelle était sa situation effective (cf. arrêt du Tribunal fédéral 9C_435/2013 du 27 septembre 2013, consid. 5.2). Certes, la recourante n'a jamais travaillé dans le marché ordinaire de l'emploi. Il n’en reste pas moins que plusieurs éléments plaident en faveur d'un statut d'actif. Or, dans la mesure où l’intimé - qui n’a même pas interrogé l’intéressée sur sa volonté de travailler - n’a procédé à aucune investigation sur ce point, il conviendra de lui renvoyer la cause pour instruction et nouvelle décision sur la question du statut.</w:t>
      </w:r>
    </w:p>
    <w:p>
      <w:r>
        <w:rPr>
          <w:b/>
        </w:rPr>
        <w:t>E. 5</w:t>
      </w:r>
    </w:p>
    <w:p>
      <w:r>
        <w:t>S'agissant ensuite de l'évaluation de la capacité de travail, il sied de relever ce qui suit.![endif]&gt;![if&gt;</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w:t>
      </w:r>
    </w:p>
    <w:p>
      <w:r>
        <w:rPr>
          <w:b/>
        </w:rPr>
        <w:t>E. 5.2</w:t>
      </w:r>
    </w:p>
    <w:p>
      <w:r>
        <w:t>Selon l’art. 54a LAI, les services médicaux régionaux (ci-après : SMR) établissent les capacités fonctionnelles de l’assuré qui sont déterminantes pour l’assurance-invalidité en vertu de l’art. 6 LPGA, pour l’exercice d’une activité lucrative raisonnablement exigible ou pour l’accomplissement des travaux habituels (al. 3). ![endif]&gt;![if&gt;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5.3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5.4</w:t>
      </w:r>
    </w:p>
    <w:p>
      <w:r>
        <w:t>En l'espèce, dans le cadre de son instruction, l'intimé s’est limité à interroger le psychiatre et la neurologue de la recourante. L’avis du SMR n’a été requis qu’au stade de la procédure devant la chambre de céans.![endif]&gt;![if&gt; Selon son psychiatre traitant, la recourante présente une capacité de travail nulle dans toute activité depuis au moins l’âge de 18 ans, en raison d’un retard mental léger (F70) et d’un trouble dépressif récurrent (F33). Le médecin relève qu’elle arrive à gérer seule le ménage, les repas et les enfants, mais pas les courses ni la gestion administrative et financière du ménage. Elle reste au domicile une fois les activités de la vie quotidienne du ménage familial réalisées et n'a pas d'autres activités socialisantes que les relations intrafamiliales, ni d'activités (récréatives ou de loisirs) personnelles régulières. Ses limitations fonctionnelles sont des difficultés de compréhension des consignes orales et écrites, d'expression orale et écrite, d'élaboration, de l'hypersensibilité au stress et de la fatigabilité psychique. La recourante est enfin toujours sous traitements (entretiens psychiatriques toutes les deux à quatre semaines et prescription d'antidépresseurs et anxiolytiques) avec une observance complète. Sur le plan neurologique, la Dre F______ retient que la recourante présente, avec répercussion sur la capacité de travail, une sclérose en plaques et, sans répercussion, un syndrome du canal carpien. S'agissant de la capacité de travail, elle se limite à relever que la recourante n'a pas d'activité professionnelle, précisant qu'elle peut poursuivre son activité de mère au foyer. Elle expose que, grâce au traitement, la sclérose en plaques est stabilisée, mais que comme il s'agit d'une atteinte chronique, il y a un risque d'aggravation des troubles cognitifs et physiques. Elle mentionne également des difficultés cognitives et de concentration. Quant à la neuropsychologue, elle retient une déficience intellectuelle légère, avec des troubles du développement cognitif sévères. Sur la base de ces appréciations, le SMR retient une capacité de travail entière exigible dans une activité adaptée au déficit cognitif, de type tâches simples et répétitives, et ce malgré la présence depuis l'enfance d'un retard de développement mental léger. Il relève que l'atteinte de sclérose en plaques est stabilisée et n'entraine à l'heure actuelle aucun déficit neurologique. Le SMR écarte ainsi, sans motivation, l’appréciation motivée du psychiatre, se fondant sur celle - plus succincte et peu précise - de la neurologue. Force est donc de constater que l'instruction médicale est également lacunaire et qu'il existe des discordances entre les avis des différents médecins. Il convient donc de clarifier davantage la situation médicale, sur le plan psychiatrique et neurologique, si nécessaire, au moyen d'une expertise médicale bi-disciplinaire. La cause doit dès lors être renvoyée à l'intimé afin qu'il complète également l'instruction médicale. C'est le lieu de préciser que dans l'hypothèse où l'intimé devait néanmoins être amené à retenir un statut ménager, voire mixte, la question de la mise en œuvre d'une enquête ménagère pourrait se poser, en raison du double volet psychique et somatique que présente la recourante.</w:t>
      </w:r>
    </w:p>
    <w:p>
      <w:r>
        <w:rPr>
          <w:b/>
        </w:rPr>
        <w:t>E. 5.5</w:t>
      </w:r>
    </w:p>
    <w:p>
      <w:r>
        <w:t>Dans la mesure de ce qui précède, le recours sera partiellement admis, la décision du 27 février 2023 annulée et la cause renvoyée à l'intimé pour instruction complémentaire dans le sens des considérants.![endif]&gt;![if&gt; La recourante ayant partiellement gain de cause par l’intermédiaire d’un mandataire professionnel, une indemnité de CHF 1'800.-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