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A/858/2022 vom 12. Dezember 2022</w:t>
      </w:r>
    </w:p>
    <w:p>
      <w:r>
        <w:t>GE Cour de justice, 2022-12-12, FR</w:t>
      </w:r>
    </w:p>
    <w:p>
      <w:r>
        <w:rPr>
          <w:b/>
        </w:rPr>
        <w:t xml:space="preserve">Quelle: </w:t>
      </w:r>
      <w:r>
        <w:t>https://mcp.opencaselaw.ch/entscheid/ge_gerichte_A_858_2022</w:t>
      </w:r>
    </w:p>
    <w:p>
      <w:r>
        <w:t>FR: GE_GERICHTE A/858/2022 du 12 décembre 2022</w:t>
      </w:r>
    </w:p>
    <w:p>
      <w:r>
        <w:t>IT: GE_GERICHTE A/858/2022 del 12 dicembre 2022</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1.2</w:t>
      </w:r>
    </w:p>
    <w:p>
      <w:r>
        <w:t>Le délai de recours est de trente jours (art. 56 LPGA ; art. 62 al. 1 de la loi sur la procédure administrative du 12 septembre 1985 [LPA - E 5 10]). ![endif]&gt;![if&gt; Interjeté dans la forme et le délai prévus par la loi, l’acte de recours est recevable (art. 56 ss LPGA et 62 LPA).</w:t>
      </w:r>
    </w:p>
    <w:p>
      <w:r>
        <w:rPr>
          <w:b/>
        </w:rPr>
        <w:t>E. 2</w:t>
      </w:r>
    </w:p>
    <w:p>
      <w:r>
        <w:t>Le litige porte sur le bien-fondé de la sanction de six jours infligée au recourant pour recherches d’emploi insuffisantes du point de vue quantitatif pour le mois d’octobre 2021.![endif]&gt;![if&gt;</w:t>
      </w:r>
    </w:p>
    <w:p>
      <w:r>
        <w:rPr>
          <w:b/>
        </w:rPr>
        <w:t>E. 3</w:t>
      </w:r>
    </w:p>
    <w:p>
      <w:r>
        <w:t>![endif]&gt;![if&gt;</w:t>
      </w:r>
    </w:p>
    <w:p>
      <w:r>
        <w:rPr>
          <w:b/>
        </w:rPr>
        <w:t>E. 3.1</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d).![endif]&gt;![if&gt;</w:t>
      </w:r>
    </w:p>
    <w:p>
      <w:r>
        <w:rPr>
          <w:b/>
        </w:rPr>
        <w:t>E. 3.2</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2.1.2).![endif]&gt;![if&gt;</w:t>
      </w:r>
    </w:p>
    <w:p>
      <w:r>
        <w:rPr>
          <w:b/>
        </w:rPr>
        <w:t>E. 3.3</w:t>
      </w:r>
    </w:p>
    <w:p>
      <w:r>
        <w:t>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 o 15).![endif]&gt;![if&gt;</w:t>
      </w:r>
    </w:p>
    <w:p>
      <w:r>
        <w:rPr>
          <w:b/>
        </w:rPr>
        <w:t>E. 3.4</w:t>
      </w:r>
    </w:p>
    <w:p>
      <w:r>
        <w:t>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suspension.![endif]&gt;![if&gt;</w:t>
      </w:r>
    </w:p>
    <w:p>
      <w:r>
        <w:rPr>
          <w:b/>
        </w:rPr>
        <w:t>E. 3.5</w:t>
      </w:r>
    </w:p>
    <w:p>
      <w:r>
        <w:t>Selon l’art. 45 al. 3 OACI, la suspension est de 1 à 15 jours en cas de faute légère, de 16 à 30 jours en cas de faute de gravité moyenne et de 31 à 60 jours en cas de faute grave.![endif]&gt;![if&gt;</w:t>
      </w:r>
    </w:p>
    <w:p>
      <w:r>
        <w:rPr>
          <w:b/>
        </w:rPr>
        <w:t>E. 3.6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cantons.![endif]&gt;![if&gt;</w:t>
      </w:r>
    </w:p>
    <w:p>
      <w:r>
        <w:rPr>
          <w:b/>
        </w:rPr>
        <w:t>E. 3.7</w:t>
      </w:r>
    </w:p>
    <w:p>
      <w:r>
        <w:t>En tant qu'autorité de surveillance, le Secrétariat d'État à l'économie (ci-après : SECO) a adopté un barème (indicatif) à l'intention des organes d'exécution (Bulletin LACI/IC). Le Bulletin LACI/IC – marché du travail / assurance-chômage du SECO, janvier 2019,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(Bulletin LACI/IC n° D79 1C).![endif]&gt;![if&gt;</w:t>
      </w:r>
    </w:p>
    <w:p>
      <w:r>
        <w:rPr>
          <w:b/>
        </w:rPr>
        <w:t>E. 3.8</w:t>
      </w:r>
    </w:p>
    <w:p>
      <w:r>
        <w:t>Dans un arrêt du 5 novembre 2018, le Tribunal fédéral a retenu que compte tenu des éléments retenus par les premiers juges (retard minime, premier manquement, comportement jusqu'alors irréprochable, et qualité et quantité des recherches suffisantes), la sanction minimale prévue par l'art. 45 al. 3 OACI, soit un jour, n'était pas critiquable (arrêt du Tribunal fédéral 8C_ 604/2018 du 5 novembre 2018 consid. 4.2 ; cf. aussi arrêts du Tribunal fédéral 8C_64/2012 du 26 juin 2012 consid. 3.2 ; 8C_2/2012 du 14 juin 2012 consid. 3.2 ; 8C_22/2012 du 26 juin 2012).![endif]&gt;![if&gt;</w:t>
      </w:r>
    </w:p>
    <w:p>
      <w:r>
        <w:rPr>
          <w:b/>
        </w:rPr>
        <w:t>E. 3.9</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 ![endif]&gt;![if&gt;</w:t>
      </w:r>
    </w:p>
    <w:p>
      <w:r>
        <w:rPr>
          <w:b/>
        </w:rPr>
        <w:t>E. 3.10</w:t>
      </w:r>
    </w:p>
    <w:p>
      <w:r>
        <w:t>Il est précisé que pour toute suspension, le comportement général de la personne assurée doit être pris en considération. Lorsque la suspension infligée s'écarte de la présente échelle, l'autorité qui la prononce doit assortir sa décision d'un exposé des motifs justifiant sa sévérité ou sa clémence particulière (030-Bulletin LACI/D72).![endif]&gt;![if&gt;</w:t>
      </w:r>
    </w:p>
    <w:p>
      <w:r>
        <w:rPr>
          <w:b/>
        </w:rPr>
        <w:t>E. 3.11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5a).![endif]&gt;![if&gt;</w:t>
      </w:r>
    </w:p>
    <w:p>
      <w:r>
        <w:rPr>
          <w:b/>
        </w:rPr>
        <w:t>E. 3.12</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5.1).![endif]&gt;![if&gt;</w:t>
      </w:r>
    </w:p>
    <w:p>
      <w:r>
        <w:rPr>
          <w:b/>
        </w:rPr>
        <w:t>E. 4</w:t>
      </w:r>
    </w:p>
    <w:p>
      <w:r>
        <w:t>![endif]&gt;![if&gt;</w:t>
      </w:r>
    </w:p>
    <w:p>
      <w:r>
        <w:rPr>
          <w:b/>
        </w:rPr>
        <w:t>E. 4.1</w:t>
      </w:r>
    </w:p>
    <w:p>
      <w:r>
        <w:t>Partant, le recours sera admis partiellement et la décision litigieuse réformée dans le sens précité. Une indemnité de CHF 1'000.- sera allouée au recourant à charge de l'intimé.![endif]&gt;![if&gt; PAR CES MOTIFS, LA CHAMBRE DES ASSURANCES SOCIALES : Statuant À la forme :</w:t>
      </w:r>
    </w:p>
    <w:p>
      <w:r>
        <w:rPr>
          <w:b/>
        </w:rPr>
        <w:t>E. 4.2</w:t>
      </w:r>
    </w:p>
    <w:p>
      <w:r>
        <w:t>Le recourant ne conteste pas qu’à teneur de son contrat d’objectifs, il devait faire au minimum dix recherches personnelles d’emploi par mois, réparties sur le mois et les transmettre à l’ORP au plus tard le cinquième jour du mois suivant le mois contrôlé. ![endif]&gt;![if&gt; Il ne ressort d’aucun document que ses obligations seraient allégées en cas de formation pendant le délai-cadre, en particulier pas de la décision de cours pour le mois d’octobre 2021. En outre, le recourant avait suivi d’autres cours les mois précédents et n’avait pas remis en question le nombre de postulations attendues de sa part. S’il avait eu un doute, il lui appartenait de s’en enquérir auprès de sa conseillère. En n’adressant que neuf recherches d’emploi pour le mois d’octobre 2021 à l’ORP, le recourant n’a donc pas répondu à son obligation de transmettre la preuve de ses recherches au plus tard le cinquième jour du mois suivant le mois contrôlé, soit en l’espèce le 5 novembre 2021. Cela étant, le recourant établit avoir effectué une dixième recherche d’emploi en octobre 2021, pour laquelle il a eu un entretien le 27 octobre 2021. Cette recherche diffère selon toute vraisemblance et au regard des pièces produites de celle pour le mois d’aout 2021, qui concernait un autre poste, dans une autre ville, pour lequel il n’avait pas été retenu. Il n’explique pas pourquoi il n’en a pas fait état dans sa prise de position du 9 décembre 2021, alors qu’aucune décision de sanction n’avait encore été prise, pour ne l’exposer que le 8 février 2022 dans son opposition. Cette erreur même légère a, à juste titre, conduit l’intimé à prononcer une sanction, dans la mesure où même une négligence légère conduit à cette conséquence. Cette erreur était évitable puisqu’il avait déjà été averti de l’importance de fournir des recherches suffisantes, durant son délai de congé, pour lequel il avait été sanctionné.</w:t>
      </w:r>
    </w:p>
    <w:p>
      <w:r>
        <w:rPr>
          <w:b/>
        </w:rPr>
        <w:t>E. 4.3</w:t>
      </w:r>
    </w:p>
    <w:p>
      <w:r>
        <w:t>Quant à la sanction prononcée, on relèvera que le recourant a transmis sa recherche d’emploi manquante très tardivement, à l’appui de son opposition. Néanmoins, ladite recherche a abouti à une prise d’emploi le 1 er mars 2022, ce dont il doit être tenu compte.![endif]&gt;![if&gt; Dans ces circonstances, il se justifie de réduire la sanction minimale prévue dans le barème. En conséquence la suspension sera réduite de six à trois jours, correspondant à la sanction minimale pour une faute de gravité légère.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