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A/855/2007 vom 3. April 2007</w:t>
      </w:r>
    </w:p>
    <w:p>
      <w:r>
        <w:t>GE Cour de justice, 2007-04-03, FR</w:t>
      </w:r>
    </w:p>
    <w:p>
      <w:r>
        <w:rPr>
          <w:b/>
        </w:rPr>
        <w:t xml:space="preserve">Quelle: </w:t>
      </w:r>
      <w:r>
        <w:t>https://mcp.opencaselaw.ch/entscheid/ge_gerichte_A_855_2007</w:t>
      </w:r>
    </w:p>
    <w:p>
      <w:r>
        <w:t>FR: GE_GERICHTE A/855/2007 du 3 avril 2007</w:t>
      </w:r>
    </w:p>
    <w:p>
      <w:r>
        <w:t>IT: GE_GERICHTE A/855/2007 del 3 aprile 2007</w:t>
      </w:r>
    </w:p>
    <w:p>
      <w:pPr>
        <w:pStyle w:val="Heading2"/>
      </w:pPr>
      <w:r>
        <w:t>Regeste</w:t>
      </w:r>
    </w:p>
    <w:p>
      <w:r>
        <w:t>Irrecevable | Le plaignant n'a pas produit l'acte attaqué. | LaLP.13.1 ; LaLP.13.2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Commission de céans est compétente pour statuer sur les plaintes formées en application de la LP (art. 10 al. 1 LP ; art. 56R al. 3 LOJ) contre des mesures sujettes à plainte non attaquables par la voie judiciaire ou pour déni de justice ou retard injustifié (art. 17 al. 1 et 3 LP). Les cantons sont compétents pour organiser la procédure de plainte. Les règles qu’ils édictent à cette fin ne doivent rien renfermer de contraire à la lettre et à l’esprit des assez nombreuses règles que comporte le droit fédéral en la matière (art. 20a al. 3 LP ; ATF 7B.194/2004 consid. 1 du 13 octobre 2004 ; Pierre-Robert Gilliéron , Commentaire, ad art. 20a n° 9 ss et 147 ss ; Flavio Cometta , in SchKG I, ad art. 20a n° 2 ss et 48 ; Franco Lorandi , Betreibungsrechtliche Beschwerde und Nichtigkeit. Kommentar zu den Artikeln 13-30 SchKG, Bâle-Genève-Munich 2000, ad art. 20a n° 92 ss). Il revient aux cantons de déterminer notamment la forme et le contenu auxquels doivent satisfaire les plaintes. Selon l’art. 13 al. 1 et 2 LaLP, les plaintes à la Commission de céans doivent être formulées par écrit, être rédigées en français, être accompagnées des pièces auxquelles elles renvoient, et être suffisamment motivées. Il est conforme à l’esprit du renvoi que l’art. 13 al. 5 LaLP fait à la LPA d’exiger par ailleurs que les plaintes, ne serait-ce qu’implicitement, désignent la mesure attaquée et comportent les conclusions du plaignant (art. 65 al. 1 LPA). A défaut, la Commission de céans doit impartir au plaignant un bref délai pour satisfaire à ces exigences, sous peine d’irrecevabilité (art. 13 al. 2 LaLP et art. 65 al. 2 phr. 3 LPA).</w:t>
      </w:r>
    </w:p>
    <w:p>
      <w:r>
        <w:rPr>
          <w:b/>
        </w:rPr>
        <w:t>E. 2</w:t>
      </w:r>
    </w:p>
    <w:p>
      <w:r>
        <w:t>En l’espèce, par courrier recommandé du 2 février 2007, la Commission de céans a imparti au plaignant un délai au 16 mars 2007 pour produire l'acte attaqué et compléter la motivation de sa plainte, sous peine d'irrecevabilité. Le plaignant n'ayant pas donné suite à cette injonction dans le délai imparti, sa plainte sera déclarée irrecevable. * * * * * PAR CES MOTIFS, LA COMMISSION DE SURVEILLANCE SIÉGEANT EN SECTION : Déclare irrecevable la plainte formée par M. G______ le 3 mars 2007. Siégeant : Mme Ariane WEYENETH, présidente ; MM. Denis MATHEY et Olivier WEHRLI, juges assesseurs. Au nom de la Commission de surveillance : Filippina MORABITO Ariane WEYENETH Greffière : Présidente : La présente décision est communiquée par courrier A à l’Office concerné et par lettre signature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